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714DD" w14:textId="77777777" w:rsidR="0094677B" w:rsidRPr="0094677B" w:rsidRDefault="0094677B" w:rsidP="0094677B">
      <w:pPr>
        <w:jc w:val="both"/>
        <w:rPr>
          <w:rFonts w:ascii="Trebuchet MS" w:eastAsia="Trebuchet MS" w:hAnsi="Trebuchet MS" w:cs="Trebuchet MS"/>
          <w:b/>
          <w:sz w:val="24"/>
          <w:szCs w:val="24"/>
          <w:lang w:eastAsia="it-IT"/>
        </w:rPr>
      </w:pPr>
      <w:r w:rsidRPr="0094677B">
        <w:rPr>
          <w:rFonts w:ascii="Trebuchet MS" w:eastAsia="Trebuchet MS" w:hAnsi="Trebuchet MS" w:cs="Trebuchet MS"/>
          <w:b/>
          <w:sz w:val="24"/>
          <w:szCs w:val="24"/>
          <w:lang w:eastAsia="it-IT"/>
        </w:rPr>
        <w:t>Bando di gara</w:t>
      </w:r>
      <w:r w:rsidRPr="0094677B">
        <w:rPr>
          <w:rFonts w:ascii="Trebuchet MS" w:eastAsia="Trebuchet MS" w:hAnsi="Trebuchet MS" w:cs="Trebuchet MS"/>
          <w:b/>
          <w:sz w:val="24"/>
          <w:szCs w:val="24"/>
          <w:lang w:val="it" w:eastAsia="it-IT"/>
        </w:rPr>
        <w:t xml:space="preserve"> - </w:t>
      </w:r>
      <w:r w:rsidRPr="0094677B">
        <w:rPr>
          <w:rFonts w:ascii="Trebuchet MS" w:eastAsia="Trebuchet MS" w:hAnsi="Trebuchet MS" w:cs="Trebuchet MS"/>
          <w:b/>
          <w:sz w:val="24"/>
          <w:szCs w:val="24"/>
          <w:lang w:eastAsia="it-IT"/>
        </w:rPr>
        <w:t>PROCEDURA APERTA PER L’ACQUISIZIONE DI SERVIZI DI RICERCA E SVILUPPO EX ART. 158, COMMA 1, DEL D.LGS 50/2016 e ss.mm. e ii. “WAVES4WATER PER LO SVILUPPO DI NUOVE TECNOLOGIE PER MIGLIORARE IL SISTEMA DI APPROVVIGIONAMENTO ENERGETICO ED IDRICO ALL’INTERNO DELL’AREA NATURALISTICA DEL PARCO DI PORTO CONTE”.</w:t>
      </w:r>
    </w:p>
    <w:p w14:paraId="2048323C"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u w:val="single"/>
          <w:lang w:val="it" w:eastAsia="it-IT"/>
        </w:rPr>
      </w:pPr>
      <w:r w:rsidRPr="0094677B">
        <w:rPr>
          <w:rFonts w:ascii="Trebuchet MS" w:eastAsia="Trebuchet MS" w:hAnsi="Trebuchet MS" w:cs="Trebuchet MS"/>
          <w:b/>
          <w:sz w:val="20"/>
          <w:szCs w:val="20"/>
          <w:u w:val="single"/>
          <w:lang w:val="it" w:eastAsia="it-IT"/>
        </w:rPr>
        <w:t>Sezione I: Amministrazione aggiudicatrice</w:t>
      </w:r>
    </w:p>
    <w:p w14:paraId="0CBBFA5F"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2280C86F"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I.1) Denominazione e indirizzi</w:t>
      </w:r>
    </w:p>
    <w:p w14:paraId="41960D76"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348F381E"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Azienda Speciale Parco di Porto Conte </w:t>
      </w:r>
    </w:p>
    <w:p w14:paraId="75689EFA" w14:textId="577D56C8" w:rsidR="0094677B" w:rsidRPr="0094677B" w:rsidRDefault="00E878B9"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Pr>
          <w:rFonts w:ascii="Trebuchet MS" w:eastAsia="Trebuchet MS" w:hAnsi="Trebuchet MS" w:cs="Trebuchet MS"/>
          <w:sz w:val="20"/>
          <w:szCs w:val="20"/>
          <w:lang w:val="it" w:eastAsia="it-IT"/>
        </w:rPr>
        <w:t>“</w:t>
      </w:r>
      <w:r w:rsidR="0094677B" w:rsidRPr="0094677B">
        <w:rPr>
          <w:rFonts w:ascii="Trebuchet MS" w:eastAsia="Trebuchet MS" w:hAnsi="Trebuchet MS" w:cs="Trebuchet MS"/>
          <w:sz w:val="20"/>
          <w:szCs w:val="20"/>
          <w:lang w:val="it" w:eastAsia="it-IT"/>
        </w:rPr>
        <w:t>Casa Gioiosa</w:t>
      </w:r>
      <w:r>
        <w:rPr>
          <w:rFonts w:ascii="Trebuchet MS" w:eastAsia="Trebuchet MS" w:hAnsi="Trebuchet MS" w:cs="Trebuchet MS"/>
          <w:sz w:val="20"/>
          <w:szCs w:val="20"/>
          <w:lang w:val="it" w:eastAsia="it-IT"/>
        </w:rPr>
        <w:t xml:space="preserve">” - </w:t>
      </w:r>
      <w:proofErr w:type="spellStart"/>
      <w:r>
        <w:rPr>
          <w:rFonts w:ascii="Trebuchet MS" w:eastAsia="Trebuchet MS" w:hAnsi="Trebuchet MS" w:cs="Trebuchet MS"/>
          <w:sz w:val="20"/>
          <w:szCs w:val="20"/>
          <w:lang w:val="it" w:eastAsia="it-IT"/>
        </w:rPr>
        <w:t>Loc</w:t>
      </w:r>
      <w:proofErr w:type="spellEnd"/>
      <w:r>
        <w:rPr>
          <w:rFonts w:ascii="Trebuchet MS" w:eastAsia="Trebuchet MS" w:hAnsi="Trebuchet MS" w:cs="Trebuchet MS"/>
          <w:sz w:val="20"/>
          <w:szCs w:val="20"/>
          <w:lang w:val="it" w:eastAsia="it-IT"/>
        </w:rPr>
        <w:t>. Tramariglio SP. 55 n</w:t>
      </w:r>
      <w:r w:rsidR="0094677B" w:rsidRPr="0094677B">
        <w:rPr>
          <w:rFonts w:ascii="Trebuchet MS" w:eastAsia="Trebuchet MS" w:hAnsi="Trebuchet MS" w:cs="Trebuchet MS"/>
          <w:sz w:val="20"/>
          <w:szCs w:val="20"/>
          <w:lang w:val="it" w:eastAsia="it-IT"/>
        </w:rPr>
        <w:t>. 44 - 07041 Alghero (SS)</w:t>
      </w:r>
    </w:p>
    <w:p w14:paraId="49A7D2FB"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Persona di contatto: Pasquale </w:t>
      </w:r>
      <w:proofErr w:type="spellStart"/>
      <w:r w:rsidRPr="0094677B">
        <w:rPr>
          <w:rFonts w:ascii="Trebuchet MS" w:eastAsia="Trebuchet MS" w:hAnsi="Trebuchet MS" w:cs="Trebuchet MS"/>
          <w:sz w:val="20"/>
          <w:szCs w:val="20"/>
          <w:lang w:val="it" w:eastAsia="it-IT"/>
        </w:rPr>
        <w:t>Sinis</w:t>
      </w:r>
      <w:proofErr w:type="spellEnd"/>
      <w:r w:rsidRPr="0094677B">
        <w:rPr>
          <w:rFonts w:ascii="Trebuchet MS" w:eastAsia="Trebuchet MS" w:hAnsi="Trebuchet MS" w:cs="Trebuchet MS"/>
          <w:sz w:val="20"/>
          <w:szCs w:val="20"/>
          <w:lang w:val="it" w:eastAsia="it-IT"/>
        </w:rPr>
        <w:t xml:space="preserve"> </w:t>
      </w:r>
    </w:p>
    <w:p w14:paraId="4655D242"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Tel.: (+39)</w:t>
      </w:r>
      <w:r w:rsidRPr="0094677B">
        <w:t xml:space="preserve"> </w:t>
      </w:r>
      <w:r w:rsidRPr="0094677B">
        <w:rPr>
          <w:rFonts w:ascii="Trebuchet MS" w:eastAsia="Trebuchet MS" w:hAnsi="Trebuchet MS" w:cs="Trebuchet MS"/>
          <w:sz w:val="20"/>
          <w:szCs w:val="20"/>
          <w:lang w:val="it" w:eastAsia="it-IT"/>
        </w:rPr>
        <w:t xml:space="preserve">079 945005  </w:t>
      </w:r>
    </w:p>
    <w:p w14:paraId="656FF71B"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E-mail:</w:t>
      </w:r>
      <w:r w:rsidRPr="0094677B">
        <w:t xml:space="preserve"> </w:t>
      </w:r>
      <w:hyperlink r:id="rId9" w:history="1">
        <w:r w:rsidRPr="0094677B">
          <w:rPr>
            <w:rFonts w:ascii="Trebuchet MS" w:eastAsia="Trebuchet MS" w:hAnsi="Trebuchet MS" w:cs="Trebuchet MS"/>
            <w:color w:val="0000FF" w:themeColor="hyperlink"/>
            <w:sz w:val="20"/>
            <w:szCs w:val="20"/>
            <w:u w:val="single"/>
            <w:lang w:val="it" w:eastAsia="it-IT"/>
          </w:rPr>
          <w:t>amministrazione2@parcodiportoconte.it</w:t>
        </w:r>
      </w:hyperlink>
      <w:r w:rsidRPr="0094677B">
        <w:rPr>
          <w:rFonts w:ascii="Trebuchet MS" w:eastAsia="Trebuchet MS" w:hAnsi="Trebuchet MS" w:cs="Trebuchet MS"/>
          <w:sz w:val="20"/>
          <w:szCs w:val="20"/>
          <w:lang w:val="it" w:eastAsia="it-IT"/>
        </w:rPr>
        <w:t xml:space="preserve">  </w:t>
      </w:r>
    </w:p>
    <w:p w14:paraId="1367AB71" w14:textId="77777777" w:rsidR="0094677B" w:rsidRPr="0094677B" w:rsidRDefault="0094677B" w:rsidP="0094677B">
      <w:pPr>
        <w:tabs>
          <w:tab w:val="right" w:pos="9630"/>
        </w:tabs>
        <w:spacing w:before="60" w:after="0" w:line="240" w:lineRule="auto"/>
        <w:ind w:left="360"/>
        <w:jc w:val="both"/>
      </w:pPr>
      <w:r w:rsidRPr="0094677B">
        <w:rPr>
          <w:rFonts w:ascii="Trebuchet MS" w:eastAsia="Trebuchet MS" w:hAnsi="Trebuchet MS" w:cs="Trebuchet MS"/>
          <w:sz w:val="20"/>
          <w:szCs w:val="20"/>
          <w:lang w:eastAsia="it-IT"/>
        </w:rPr>
        <w:t>Fax: (+39)</w:t>
      </w:r>
      <w:r w:rsidRPr="0094677B">
        <w:t xml:space="preserve"> </w:t>
      </w:r>
      <w:r w:rsidRPr="0094677B">
        <w:rPr>
          <w:rFonts w:ascii="Trebuchet MS" w:eastAsia="Trebuchet MS" w:hAnsi="Trebuchet MS" w:cs="Trebuchet MS"/>
          <w:sz w:val="20"/>
          <w:szCs w:val="20"/>
          <w:lang w:eastAsia="it-IT"/>
        </w:rPr>
        <w:t xml:space="preserve">079 946507  </w:t>
      </w:r>
    </w:p>
    <w:p w14:paraId="0B28BF5B" w14:textId="77777777" w:rsidR="0094677B" w:rsidRPr="0094677B" w:rsidRDefault="0094677B" w:rsidP="0094677B">
      <w:pPr>
        <w:tabs>
          <w:tab w:val="right" w:pos="9630"/>
        </w:tabs>
        <w:spacing w:before="60" w:after="0" w:line="240" w:lineRule="auto"/>
        <w:ind w:left="360"/>
        <w:jc w:val="both"/>
      </w:pPr>
      <w:r w:rsidRPr="0094677B">
        <w:t>Codice NUTS: ITG25</w:t>
      </w:r>
    </w:p>
    <w:p w14:paraId="3541CD77"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eastAsia="it-IT"/>
        </w:rPr>
      </w:pPr>
      <w:r w:rsidRPr="0094677B">
        <w:rPr>
          <w:rFonts w:ascii="Trebuchet MS" w:eastAsia="Trebuchet MS" w:hAnsi="Trebuchet MS" w:cs="Trebuchet MS"/>
          <w:b/>
          <w:bCs/>
          <w:sz w:val="20"/>
          <w:szCs w:val="20"/>
          <w:lang w:eastAsia="it-IT"/>
        </w:rPr>
        <w:t>Indirizzi Internet:</w:t>
      </w:r>
    </w:p>
    <w:p w14:paraId="38742C0B"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eastAsia="it-IT"/>
        </w:rPr>
      </w:pPr>
      <w:r w:rsidRPr="0094677B">
        <w:rPr>
          <w:rFonts w:ascii="Trebuchet MS" w:eastAsia="Trebuchet MS" w:hAnsi="Trebuchet MS" w:cs="Trebuchet MS"/>
          <w:sz w:val="20"/>
          <w:szCs w:val="20"/>
          <w:lang w:eastAsia="it-IT"/>
        </w:rPr>
        <w:t>Indirizzo principale:</w:t>
      </w:r>
      <w:r w:rsidRPr="0094677B">
        <w:t xml:space="preserve"> </w:t>
      </w:r>
      <w:hyperlink r:id="rId10" w:history="1">
        <w:r w:rsidRPr="0094677B">
          <w:rPr>
            <w:rFonts w:ascii="Trebuchet MS" w:eastAsia="Trebuchet MS" w:hAnsi="Trebuchet MS" w:cs="Trebuchet MS"/>
            <w:color w:val="0000FF" w:themeColor="hyperlink"/>
            <w:sz w:val="20"/>
            <w:szCs w:val="20"/>
            <w:u w:val="single"/>
            <w:lang w:eastAsia="it-IT"/>
          </w:rPr>
          <w:t>http://www.parcodiportoconte.it/</w:t>
        </w:r>
      </w:hyperlink>
      <w:r w:rsidRPr="0094677B">
        <w:rPr>
          <w:rFonts w:ascii="Trebuchet MS" w:eastAsia="Trebuchet MS" w:hAnsi="Trebuchet MS" w:cs="Trebuchet MS"/>
          <w:sz w:val="20"/>
          <w:szCs w:val="20"/>
          <w:lang w:eastAsia="it-IT"/>
        </w:rPr>
        <w:t xml:space="preserve"> </w:t>
      </w:r>
    </w:p>
    <w:p w14:paraId="5BCA655B"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eastAsia="it-IT"/>
        </w:rPr>
      </w:pPr>
    </w:p>
    <w:p w14:paraId="7E9F3935" w14:textId="77777777" w:rsidR="0094677B" w:rsidRPr="0094677B" w:rsidRDefault="0094677B" w:rsidP="0094677B">
      <w:pPr>
        <w:ind w:firstLine="360"/>
        <w:rPr>
          <w:rFonts w:ascii="Trebuchet MS" w:eastAsia="Trebuchet MS" w:hAnsi="Trebuchet MS" w:cs="Trebuchet MS"/>
          <w:sz w:val="20"/>
          <w:szCs w:val="20"/>
          <w:lang w:eastAsia="it-IT"/>
        </w:rPr>
      </w:pPr>
      <w:r w:rsidRPr="0094677B">
        <w:rPr>
          <w:rFonts w:ascii="Trebuchet MS" w:eastAsia="Trebuchet MS" w:hAnsi="Trebuchet MS" w:cs="Trebuchet MS"/>
          <w:sz w:val="20"/>
          <w:szCs w:val="20"/>
          <w:lang w:eastAsia="it-IT"/>
        </w:rPr>
        <w:t xml:space="preserve">Indirizzo del profilo di committente: </w:t>
      </w:r>
      <w:hyperlink r:id="rId11" w:history="1">
        <w:r w:rsidRPr="0094677B">
          <w:rPr>
            <w:rFonts w:ascii="Trebuchet MS" w:eastAsia="Trebuchet MS" w:hAnsi="Trebuchet MS" w:cs="Trebuchet MS"/>
            <w:color w:val="0000FF" w:themeColor="hyperlink"/>
            <w:sz w:val="20"/>
            <w:szCs w:val="20"/>
            <w:u w:val="single"/>
            <w:lang w:eastAsia="it-IT"/>
          </w:rPr>
          <w:t>http://www.parcodiportoconte.it/</w:t>
        </w:r>
      </w:hyperlink>
      <w:r w:rsidRPr="0094677B">
        <w:rPr>
          <w:rFonts w:ascii="Trebuchet MS" w:eastAsia="Trebuchet MS" w:hAnsi="Trebuchet MS" w:cs="Trebuchet MS"/>
          <w:sz w:val="20"/>
          <w:szCs w:val="20"/>
          <w:lang w:eastAsia="it-IT"/>
        </w:rPr>
        <w:t xml:space="preserve"> </w:t>
      </w:r>
    </w:p>
    <w:p w14:paraId="3D62AEB3" w14:textId="77777777" w:rsidR="0094677B" w:rsidRPr="0094677B" w:rsidRDefault="0094677B" w:rsidP="0094677B">
      <w:pPr>
        <w:numPr>
          <w:ilvl w:val="0"/>
          <w:numId w:val="15"/>
        </w:numPr>
        <w:tabs>
          <w:tab w:val="right" w:pos="9630"/>
        </w:tabs>
        <w:spacing w:before="60" w:after="0" w:line="240" w:lineRule="auto"/>
        <w:jc w:val="both"/>
        <w:rPr>
          <w:rFonts w:ascii="Trebuchet MS" w:eastAsia="Trebuchet MS" w:hAnsi="Trebuchet MS" w:cs="Trebuchet MS"/>
          <w:sz w:val="20"/>
          <w:szCs w:val="20"/>
          <w:lang w:eastAsia="it-IT"/>
        </w:rPr>
      </w:pPr>
    </w:p>
    <w:p w14:paraId="0DD4DA07"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I.2) Appalto congiunto</w:t>
      </w:r>
    </w:p>
    <w:p w14:paraId="39BCFF95"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highlight w:val="green"/>
          <w:lang w:val="it" w:eastAsia="it-IT"/>
        </w:rPr>
      </w:pPr>
      <w:r w:rsidRPr="0094677B">
        <w:rPr>
          <w:rFonts w:ascii="Trebuchet MS" w:eastAsia="Trebuchet MS" w:hAnsi="Trebuchet MS" w:cs="Trebuchet MS"/>
          <w:sz w:val="20"/>
          <w:szCs w:val="20"/>
          <w:lang w:val="it" w:eastAsia="it-IT"/>
        </w:rPr>
        <w:t>No</w:t>
      </w:r>
    </w:p>
    <w:p w14:paraId="22A5C415"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4C602202"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I.3) Comunicazione</w:t>
      </w:r>
    </w:p>
    <w:p w14:paraId="1F059267"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I documenti di gara sono disponibili per un accesso gratuito, illimitato e diretto presso: </w:t>
      </w:r>
    </w:p>
    <w:p w14:paraId="33CE2D92" w14:textId="77777777" w:rsidR="0094677B" w:rsidRPr="0094677B" w:rsidRDefault="000953E7" w:rsidP="0094677B">
      <w:pPr>
        <w:numPr>
          <w:ilvl w:val="0"/>
          <w:numId w:val="16"/>
        </w:numPr>
        <w:tabs>
          <w:tab w:val="right" w:pos="9630"/>
        </w:tabs>
        <w:spacing w:before="60" w:after="0" w:line="240" w:lineRule="auto"/>
        <w:contextualSpacing/>
        <w:jc w:val="both"/>
        <w:rPr>
          <w:rFonts w:ascii="Trebuchet MS" w:eastAsia="Trebuchet MS" w:hAnsi="Trebuchet MS" w:cs="Trebuchet MS"/>
          <w:sz w:val="20"/>
          <w:szCs w:val="20"/>
          <w:lang w:val="it" w:eastAsia="it-IT"/>
        </w:rPr>
      </w:pPr>
      <w:hyperlink r:id="rId12" w:history="1">
        <w:r w:rsidR="0094677B" w:rsidRPr="0094677B">
          <w:rPr>
            <w:color w:val="0000FF" w:themeColor="hyperlink"/>
            <w:u w:val="single"/>
          </w:rPr>
          <w:t>http://www.parcodiportoconte.it/</w:t>
        </w:r>
      </w:hyperlink>
    </w:p>
    <w:p w14:paraId="07B6FDB4" w14:textId="77777777" w:rsidR="0094677B" w:rsidRPr="0094677B" w:rsidRDefault="000953E7" w:rsidP="0094677B">
      <w:pPr>
        <w:numPr>
          <w:ilvl w:val="0"/>
          <w:numId w:val="16"/>
        </w:numPr>
        <w:tabs>
          <w:tab w:val="right" w:pos="9630"/>
        </w:tabs>
        <w:spacing w:before="60" w:after="0" w:line="240" w:lineRule="auto"/>
        <w:contextualSpacing/>
        <w:jc w:val="both"/>
        <w:rPr>
          <w:rFonts w:ascii="Trebuchet MS" w:eastAsia="Trebuchet MS" w:hAnsi="Trebuchet MS" w:cs="Trebuchet MS"/>
          <w:sz w:val="20"/>
          <w:szCs w:val="20"/>
          <w:lang w:val="it" w:eastAsia="it-IT"/>
        </w:rPr>
      </w:pPr>
      <w:hyperlink r:id="rId13" w:history="1">
        <w:r w:rsidR="0094677B" w:rsidRPr="0094677B">
          <w:rPr>
            <w:rFonts w:ascii="Trebuchet MS" w:eastAsia="Trebuchet MS" w:hAnsi="Trebuchet MS" w:cs="Trebuchet MS"/>
            <w:color w:val="0000FF" w:themeColor="hyperlink"/>
            <w:sz w:val="20"/>
            <w:szCs w:val="20"/>
            <w:u w:val="single"/>
            <w:lang w:val="it" w:eastAsia="it-IT"/>
          </w:rPr>
          <w:t>https://www.sardegnacat.it/</w:t>
        </w:r>
      </w:hyperlink>
    </w:p>
    <w:p w14:paraId="122F96B2"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un link disponibile presso </w:t>
      </w:r>
      <w:hyperlink r:id="rId14" w:history="1">
        <w:r w:rsidRPr="0094677B">
          <w:rPr>
            <w:rFonts w:ascii="Trebuchet MS" w:eastAsia="Trebuchet MS" w:hAnsi="Trebuchet MS" w:cs="Trebuchet MS"/>
            <w:color w:val="0000FF" w:themeColor="hyperlink"/>
            <w:sz w:val="20"/>
            <w:szCs w:val="20"/>
            <w:u w:val="single"/>
            <w:lang w:val="it" w:eastAsia="it-IT"/>
          </w:rPr>
          <w:t>https://sardegnaricerche.it/</w:t>
        </w:r>
      </w:hyperlink>
    </w:p>
    <w:p w14:paraId="46B4D5E6"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La gara sarà svolta in forma telematica attraverso la piattaforma </w:t>
      </w:r>
      <w:proofErr w:type="spellStart"/>
      <w:r w:rsidRPr="0094677B">
        <w:rPr>
          <w:rFonts w:ascii="Trebuchet MS" w:eastAsia="Trebuchet MS" w:hAnsi="Trebuchet MS" w:cs="Trebuchet MS"/>
          <w:sz w:val="20"/>
          <w:szCs w:val="20"/>
          <w:lang w:val="it" w:eastAsia="it-IT"/>
        </w:rPr>
        <w:t>SardegnaCat</w:t>
      </w:r>
      <w:proofErr w:type="spellEnd"/>
      <w:r w:rsidRPr="0094677B">
        <w:rPr>
          <w:rFonts w:ascii="Trebuchet MS" w:eastAsia="Trebuchet MS" w:hAnsi="Trebuchet MS" w:cs="Trebuchet MS"/>
          <w:sz w:val="20"/>
          <w:szCs w:val="20"/>
          <w:lang w:val="it" w:eastAsia="it-IT"/>
        </w:rPr>
        <w:t>.</w:t>
      </w:r>
    </w:p>
    <w:p w14:paraId="227EAAFA"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Le offerte o le domande di partecipazione vanno inviate in versione elettronica al seguente indirizzo: </w:t>
      </w:r>
      <w:hyperlink r:id="rId15" w:history="1">
        <w:r w:rsidRPr="0094677B">
          <w:rPr>
            <w:rFonts w:ascii="Trebuchet MS" w:eastAsia="Trebuchet MS" w:hAnsi="Trebuchet MS" w:cs="Trebuchet MS"/>
            <w:color w:val="0000FF" w:themeColor="hyperlink"/>
            <w:sz w:val="20"/>
            <w:szCs w:val="20"/>
            <w:u w:val="single"/>
            <w:lang w:val="it" w:eastAsia="it-IT"/>
          </w:rPr>
          <w:t>https://www.sardegnacat.it</w:t>
        </w:r>
      </w:hyperlink>
    </w:p>
    <w:p w14:paraId="70720B2A"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 </w:t>
      </w:r>
    </w:p>
    <w:p w14:paraId="62233BFF"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I.4) Tipo di Amministrazione aggiudicatrice</w:t>
      </w:r>
    </w:p>
    <w:p w14:paraId="7CC19BA5"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Ente Pubblico (Parco Naturale Regionale di Porto Conte)</w:t>
      </w:r>
    </w:p>
    <w:p w14:paraId="2A7D0C5E"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b/>
          <w:sz w:val="20"/>
          <w:szCs w:val="20"/>
          <w:lang w:val="it" w:eastAsia="it-IT"/>
        </w:rPr>
      </w:pPr>
    </w:p>
    <w:p w14:paraId="1A503CB4"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I.5) Principali settori di attività</w:t>
      </w:r>
    </w:p>
    <w:p w14:paraId="133594F8" w14:textId="77777777" w:rsidR="0094677B" w:rsidRPr="0094677B" w:rsidRDefault="0094677B" w:rsidP="0094677B">
      <w:pPr>
        <w:spacing w:line="360" w:lineRule="auto"/>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     Attività delle riserve naturali marine e terrestri</w:t>
      </w:r>
    </w:p>
    <w:p w14:paraId="7655CD60" w14:textId="77777777" w:rsidR="0094677B" w:rsidRDefault="0094677B" w:rsidP="0094677B">
      <w:pPr>
        <w:tabs>
          <w:tab w:val="right" w:pos="9630"/>
        </w:tabs>
        <w:spacing w:before="60" w:after="0" w:line="240" w:lineRule="auto"/>
        <w:jc w:val="both"/>
        <w:rPr>
          <w:rFonts w:ascii="Trebuchet MS" w:eastAsia="Trebuchet MS" w:hAnsi="Trebuchet MS" w:cs="Trebuchet MS"/>
          <w:b/>
          <w:sz w:val="20"/>
          <w:szCs w:val="20"/>
          <w:u w:val="single"/>
          <w:lang w:val="it" w:eastAsia="it-IT"/>
        </w:rPr>
      </w:pPr>
    </w:p>
    <w:p w14:paraId="09A09DD4"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u w:val="single"/>
          <w:lang w:val="it" w:eastAsia="it-IT"/>
        </w:rPr>
      </w:pPr>
      <w:r w:rsidRPr="0094677B">
        <w:rPr>
          <w:rFonts w:ascii="Trebuchet MS" w:eastAsia="Trebuchet MS" w:hAnsi="Trebuchet MS" w:cs="Trebuchet MS"/>
          <w:b/>
          <w:sz w:val="20"/>
          <w:szCs w:val="20"/>
          <w:u w:val="single"/>
          <w:lang w:val="it" w:eastAsia="it-IT"/>
        </w:rPr>
        <w:lastRenderedPageBreak/>
        <w:t>Sezione II: Oggetto</w:t>
      </w:r>
    </w:p>
    <w:p w14:paraId="71D3762D"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586983F9"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II.1) Entità dell’appalto</w:t>
      </w:r>
    </w:p>
    <w:p w14:paraId="62F8C963"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b/>
          <w:sz w:val="20"/>
          <w:szCs w:val="20"/>
          <w:lang w:val="it" w:eastAsia="it-IT"/>
        </w:rPr>
      </w:pPr>
    </w:p>
    <w:p w14:paraId="7D52C450"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II.1.1) Denominazione:</w:t>
      </w:r>
    </w:p>
    <w:p w14:paraId="6B4219BC"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bCs/>
          <w:sz w:val="20"/>
          <w:szCs w:val="20"/>
          <w:lang w:eastAsia="it-IT"/>
        </w:rPr>
      </w:pPr>
      <w:r w:rsidRPr="0094677B">
        <w:rPr>
          <w:rFonts w:ascii="Trebuchet MS" w:eastAsia="Trebuchet MS" w:hAnsi="Trebuchet MS" w:cs="Trebuchet MS"/>
          <w:bCs/>
          <w:sz w:val="20"/>
          <w:szCs w:val="20"/>
          <w:lang w:eastAsia="it-IT"/>
        </w:rPr>
        <w:t>PROCEDURA APERTA PER L’ACQUISIZIONE DI SERVIZI DI RICERCA E SVILUPPO EX ART. 158, COMMA 1, DEL D.LGS 50/2016 e ss.mm. e ii. “WAVES4WATER PER LO SVILUPPO DI NUOVE TECNOLOGIE PER MIGLIORARE IL SISTEMA DI APPROVVIGIONAMENTO ENERGETICO ED IDRICO ALL’INTERNO DELL’AREA NATURALISTICA DEL PARCO DI PORTO CONTE”.</w:t>
      </w:r>
    </w:p>
    <w:p w14:paraId="10F9688B" w14:textId="77777777" w:rsidR="00E83957" w:rsidRDefault="00E83957"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61E2380E"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II.1.2) Codice CPV principale</w:t>
      </w:r>
    </w:p>
    <w:p w14:paraId="3E8D6D8B" w14:textId="77777777" w:rsidR="0094677B" w:rsidRPr="0094677B" w:rsidRDefault="0094677B" w:rsidP="0094677B">
      <w:pPr>
        <w:tabs>
          <w:tab w:val="right" w:pos="9630"/>
        </w:tabs>
        <w:spacing w:before="60" w:after="0" w:line="240" w:lineRule="auto"/>
        <w:rPr>
          <w:rFonts w:ascii="Trebuchet MS" w:eastAsia="Trebuchet MS" w:hAnsi="Trebuchet MS" w:cs="Trebuchet MS"/>
          <w:sz w:val="20"/>
          <w:szCs w:val="20"/>
          <w:lang w:eastAsia="it-IT"/>
        </w:rPr>
      </w:pPr>
      <w:r w:rsidRPr="0094677B">
        <w:rPr>
          <w:rFonts w:ascii="Trebuchet MS" w:eastAsia="Trebuchet MS" w:hAnsi="Trebuchet MS" w:cs="Trebuchet MS"/>
          <w:b/>
          <w:bCs/>
          <w:sz w:val="20"/>
          <w:szCs w:val="20"/>
          <w:highlight w:val="yellow"/>
          <w:lang w:eastAsia="it-IT"/>
        </w:rPr>
        <w:br/>
      </w:r>
      <w:r w:rsidRPr="0094677B">
        <w:rPr>
          <w:rFonts w:ascii="Trebuchet MS" w:eastAsia="Trebuchet MS" w:hAnsi="Trebuchet MS" w:cs="Trebuchet MS"/>
          <w:sz w:val="20"/>
          <w:szCs w:val="20"/>
          <w:lang w:eastAsia="it-IT"/>
        </w:rPr>
        <w:t>- 73000000-2 Servizi di Ricerca e Sviluppo</w:t>
      </w:r>
      <w:r w:rsidRPr="0094677B">
        <w:rPr>
          <w:rFonts w:ascii="Trebuchet MS" w:eastAsia="Trebuchet MS" w:hAnsi="Trebuchet MS" w:cs="Trebuchet MS"/>
          <w:sz w:val="20"/>
          <w:szCs w:val="20"/>
          <w:lang w:eastAsia="it-IT"/>
        </w:rPr>
        <w:br/>
        <w:t>- 73100000-3 Servizi di Ricerca e Sviluppo sperimentali</w:t>
      </w:r>
      <w:r w:rsidRPr="0094677B">
        <w:rPr>
          <w:rFonts w:ascii="Trebuchet MS" w:eastAsia="Trebuchet MS" w:hAnsi="Trebuchet MS" w:cs="Trebuchet MS"/>
          <w:sz w:val="20"/>
          <w:szCs w:val="20"/>
          <w:lang w:eastAsia="it-IT"/>
        </w:rPr>
        <w:br/>
        <w:t>- 73110000-6 Servizi di Ricerca</w:t>
      </w:r>
      <w:r w:rsidRPr="0094677B">
        <w:rPr>
          <w:rFonts w:ascii="Trebuchet MS" w:eastAsia="Trebuchet MS" w:hAnsi="Trebuchet MS" w:cs="Trebuchet MS"/>
          <w:sz w:val="20"/>
          <w:szCs w:val="20"/>
          <w:lang w:eastAsia="it-IT"/>
        </w:rPr>
        <w:br/>
        <w:t>- 73120000-9 Servizi di sviluppo sperimentale</w:t>
      </w:r>
      <w:r w:rsidRPr="0094677B">
        <w:rPr>
          <w:rFonts w:ascii="Trebuchet MS" w:eastAsia="Trebuchet MS" w:hAnsi="Trebuchet MS" w:cs="Trebuchet MS"/>
          <w:sz w:val="20"/>
          <w:szCs w:val="20"/>
          <w:lang w:eastAsia="it-IT"/>
        </w:rPr>
        <w:br/>
        <w:t>- 73300000-5 Progettazione e realizzazione di ricerca e sviluppo</w:t>
      </w:r>
    </w:p>
    <w:p w14:paraId="52B03C05"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eastAsia="it-IT"/>
        </w:rPr>
      </w:pPr>
    </w:p>
    <w:p w14:paraId="4DFB7371"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II.1.3) Tipo di appalto</w:t>
      </w:r>
    </w:p>
    <w:p w14:paraId="428897E8"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Servizi (Ricerca e Sviluppo)</w:t>
      </w:r>
    </w:p>
    <w:p w14:paraId="0D3881AA"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4BD31D31"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 xml:space="preserve">II.1.4) Breve descrizione </w:t>
      </w:r>
    </w:p>
    <w:p w14:paraId="7D13B0BF" w14:textId="77777777" w:rsidR="0094677B" w:rsidRPr="0094677B" w:rsidRDefault="0094677B" w:rsidP="0094677B">
      <w:pPr>
        <w:spacing w:before="120" w:line="360" w:lineRule="auto"/>
        <w:jc w:val="both"/>
        <w:rPr>
          <w:rFonts w:ascii="Calibri Light" w:hAnsi="Calibri Light"/>
        </w:rPr>
      </w:pPr>
      <w:r w:rsidRPr="0094677B">
        <w:rPr>
          <w:rFonts w:ascii="Trebuchet MS" w:eastAsia="Trebuchet MS" w:hAnsi="Trebuchet MS" w:cs="Trebuchet MS"/>
          <w:sz w:val="20"/>
          <w:szCs w:val="20"/>
          <w:lang w:val="it" w:eastAsia="it-IT"/>
        </w:rPr>
        <w:t>Il presente appalto ha per oggetto l’esecuzione di servizi di ricerca e sviluppo, consistenti nello sviluppo ed evoluzione di nuove ed innovative tecnologie al fine di migliorare l’attuale sistema di approvvigionamento energetico ed idrico, nell’ambito della propria complessiva strategia di produzione di energia da fonti rinnovabili.</w:t>
      </w:r>
    </w:p>
    <w:p w14:paraId="77708851"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II.1.5) Valore totale stimato</w:t>
      </w:r>
    </w:p>
    <w:p w14:paraId="332A9239"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u w:val="single"/>
          <w:lang w:val="it" w:eastAsia="it-IT"/>
        </w:rPr>
      </w:pPr>
      <w:r w:rsidRPr="0094677B">
        <w:rPr>
          <w:rFonts w:ascii="Trebuchet MS" w:eastAsia="Trebuchet MS" w:hAnsi="Trebuchet MS" w:cs="Trebuchet MS"/>
          <w:sz w:val="20"/>
          <w:szCs w:val="20"/>
          <w:u w:val="single"/>
          <w:lang w:val="it" w:eastAsia="it-IT"/>
        </w:rPr>
        <w:t>Valore, Iva esclusa: € 311.721,31 (esclusa IVA) EUR</w:t>
      </w:r>
    </w:p>
    <w:p w14:paraId="033865DC"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25A85189"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 1.6) Informazione relative ai lotti</w:t>
      </w:r>
    </w:p>
    <w:p w14:paraId="454CB97B"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Questo appalto è suddiviso in lotti: no</w:t>
      </w:r>
    </w:p>
    <w:p w14:paraId="2B7483D1"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p>
    <w:p w14:paraId="2FF1C47D"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II.2) Descrizione</w:t>
      </w:r>
    </w:p>
    <w:p w14:paraId="690BC7E6"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0400B041"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Cs/>
          <w:sz w:val="20"/>
          <w:szCs w:val="20"/>
          <w:lang w:eastAsia="it-IT"/>
        </w:rPr>
      </w:pPr>
      <w:r w:rsidRPr="0094677B">
        <w:rPr>
          <w:rFonts w:ascii="Trebuchet MS" w:eastAsia="Trebuchet MS" w:hAnsi="Trebuchet MS" w:cs="Trebuchet MS"/>
          <w:b/>
          <w:sz w:val="20"/>
          <w:szCs w:val="20"/>
          <w:lang w:val="it" w:eastAsia="it-IT"/>
        </w:rPr>
        <w:t xml:space="preserve">II.2.1) Denominazione: </w:t>
      </w:r>
      <w:r w:rsidRPr="0094677B">
        <w:rPr>
          <w:rFonts w:ascii="Trebuchet MS" w:eastAsia="Trebuchet MS" w:hAnsi="Trebuchet MS" w:cs="Trebuchet MS"/>
          <w:bCs/>
          <w:sz w:val="20"/>
          <w:szCs w:val="20"/>
          <w:lang w:eastAsia="it-IT"/>
        </w:rPr>
        <w:t>Servizi di ricerca per lo sviluppo di nuove tecnologie per migliorare il sistema di approvvigionamento energetico ed idrico all’interno dell’area naturalistica del Parco di Porto Conte.</w:t>
      </w:r>
    </w:p>
    <w:p w14:paraId="29765E18"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3D048633"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II.2.2) Codici CPV supplementari</w:t>
      </w:r>
    </w:p>
    <w:p w14:paraId="719D374E"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4F90B971" w14:textId="77777777" w:rsidR="00E27111" w:rsidRDefault="00E27111"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7E26F99E" w14:textId="77777777" w:rsidR="00E27111" w:rsidRDefault="00E27111"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375F90F1"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lastRenderedPageBreak/>
        <w:t>II.2.3) Luogo della sperimentazione (sviluppo)</w:t>
      </w:r>
    </w:p>
    <w:p w14:paraId="70FA2D50" w14:textId="1CBEB6B3" w:rsidR="0094677B" w:rsidRDefault="0094677B" w:rsidP="00E27111">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Area Marina Protetta Capo Caccia Isola Piana (area prospiciente Cala di Porto Agra) </w:t>
      </w:r>
      <w:r w:rsidR="00E27111">
        <w:rPr>
          <w:rFonts w:ascii="Trebuchet MS" w:eastAsia="Trebuchet MS" w:hAnsi="Trebuchet MS" w:cs="Trebuchet MS"/>
          <w:sz w:val="20"/>
          <w:szCs w:val="20"/>
          <w:lang w:val="it" w:eastAsia="it-IT"/>
        </w:rPr>
        <w:t xml:space="preserve">presso </w:t>
      </w:r>
      <w:r w:rsidRPr="0094677B">
        <w:rPr>
          <w:rFonts w:ascii="Trebuchet MS" w:eastAsia="Trebuchet MS" w:hAnsi="Trebuchet MS" w:cs="Trebuchet MS"/>
          <w:sz w:val="20"/>
          <w:szCs w:val="20"/>
          <w:lang w:val="it" w:eastAsia="it-IT"/>
        </w:rPr>
        <w:t>Parco Naturale Regionale di Porto Cont</w:t>
      </w:r>
      <w:r w:rsidR="00E27111">
        <w:rPr>
          <w:rFonts w:ascii="Trebuchet MS" w:eastAsia="Trebuchet MS" w:hAnsi="Trebuchet MS" w:cs="Trebuchet MS"/>
          <w:sz w:val="20"/>
          <w:szCs w:val="20"/>
          <w:lang w:val="it" w:eastAsia="it-IT"/>
        </w:rPr>
        <w:t>e.</w:t>
      </w:r>
    </w:p>
    <w:p w14:paraId="31AB894A" w14:textId="77777777" w:rsidR="00E27111" w:rsidRPr="0094677B" w:rsidRDefault="00E27111" w:rsidP="00E27111">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48A9385E"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 2.4) Descrizione dell’appalto</w:t>
      </w:r>
    </w:p>
    <w:p w14:paraId="1EE453FA" w14:textId="14EF099C"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La procedura utilizzat</w:t>
      </w:r>
      <w:r w:rsidR="00E27111">
        <w:rPr>
          <w:rFonts w:ascii="Trebuchet MS" w:eastAsia="Trebuchet MS" w:hAnsi="Trebuchet MS" w:cs="Trebuchet MS"/>
          <w:sz w:val="20"/>
          <w:szCs w:val="20"/>
          <w:lang w:val="it" w:eastAsia="it-IT"/>
        </w:rPr>
        <w:t>a è la procedura aperta ex art.60 D.lgs. n.</w:t>
      </w:r>
      <w:r w:rsidRPr="0094677B">
        <w:rPr>
          <w:rFonts w:ascii="Trebuchet MS" w:eastAsia="Trebuchet MS" w:hAnsi="Trebuchet MS" w:cs="Trebuchet MS"/>
          <w:sz w:val="20"/>
          <w:szCs w:val="20"/>
          <w:lang w:val="it" w:eastAsia="it-IT"/>
        </w:rPr>
        <w:t xml:space="preserve">50/2016. </w:t>
      </w:r>
    </w:p>
    <w:p w14:paraId="387671E4"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highlight w:val="yellow"/>
          <w:lang w:val="it" w:eastAsia="it-IT"/>
        </w:rPr>
      </w:pPr>
      <w:r w:rsidRPr="0094677B">
        <w:rPr>
          <w:rFonts w:ascii="Trebuchet MS" w:eastAsia="Trebuchet MS" w:hAnsi="Trebuchet MS" w:cs="Trebuchet MS"/>
          <w:sz w:val="20"/>
          <w:szCs w:val="20"/>
          <w:lang w:val="it" w:eastAsia="it-IT"/>
        </w:rPr>
        <w:t xml:space="preserve">La procedura di selezione del contraente è </w:t>
      </w:r>
      <w:r w:rsidRPr="0094677B">
        <w:rPr>
          <w:rFonts w:ascii="Trebuchet MS" w:eastAsia="Trebuchet MS" w:hAnsi="Trebuchet MS" w:cs="Trebuchet MS"/>
          <w:bCs/>
          <w:sz w:val="20"/>
          <w:szCs w:val="20"/>
          <w:lang w:eastAsia="it-IT"/>
        </w:rPr>
        <w:t xml:space="preserve">ai sensi dell’art.158, comma 1, del D.lgs. 50/2016. </w:t>
      </w:r>
    </w:p>
    <w:p w14:paraId="32FC0A07" w14:textId="77777777" w:rsidR="0094677B" w:rsidRPr="0094677B" w:rsidRDefault="0094677B" w:rsidP="0094677B">
      <w:pPr>
        <w:pBdr>
          <w:top w:val="nil"/>
          <w:left w:val="nil"/>
          <w:bottom w:val="nil"/>
          <w:right w:val="nil"/>
          <w:between w:val="nil"/>
        </w:pBdr>
        <w:tabs>
          <w:tab w:val="right" w:pos="9630"/>
        </w:tabs>
        <w:spacing w:before="60" w:after="0" w:line="240" w:lineRule="auto"/>
        <w:ind w:left="360"/>
        <w:jc w:val="both"/>
        <w:rPr>
          <w:rFonts w:ascii="Trebuchet MS" w:eastAsia="Trebuchet MS" w:hAnsi="Trebuchet MS" w:cs="Trebuchet MS"/>
          <w:sz w:val="20"/>
          <w:szCs w:val="20"/>
          <w:lang w:eastAsia="it-IT"/>
        </w:rPr>
      </w:pPr>
      <w:r w:rsidRPr="0094677B">
        <w:rPr>
          <w:rFonts w:ascii="Trebuchet MS" w:eastAsia="Trebuchet MS" w:hAnsi="Trebuchet MS" w:cs="Trebuchet MS"/>
          <w:sz w:val="20"/>
          <w:szCs w:val="20"/>
          <w:lang w:val="it" w:eastAsia="it-IT"/>
        </w:rPr>
        <w:t xml:space="preserve">La gara sarà svolta sulla piattaforma telematica CAT. </w:t>
      </w:r>
    </w:p>
    <w:p w14:paraId="0A196BFD" w14:textId="718A5A36"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E’ stata organizzata una Consultazione</w:t>
      </w:r>
      <w:r w:rsidR="00E27111">
        <w:rPr>
          <w:rFonts w:ascii="Trebuchet MS" w:eastAsia="Trebuchet MS" w:hAnsi="Trebuchet MS" w:cs="Trebuchet MS"/>
          <w:sz w:val="20"/>
          <w:szCs w:val="20"/>
          <w:lang w:val="it" w:eastAsia="it-IT"/>
        </w:rPr>
        <w:t xml:space="preserve"> preliminare di mercato ex art.</w:t>
      </w:r>
      <w:r w:rsidRPr="0094677B">
        <w:rPr>
          <w:rFonts w:ascii="Trebuchet MS" w:eastAsia="Trebuchet MS" w:hAnsi="Trebuchet MS" w:cs="Trebuchet MS"/>
          <w:sz w:val="20"/>
          <w:szCs w:val="20"/>
          <w:lang w:val="it" w:eastAsia="it-IT"/>
        </w:rPr>
        <w:t xml:space="preserve">66, che si è svolta in audizione collettiva, previo avviso pubblico, in data 26 novembre 2018. </w:t>
      </w:r>
    </w:p>
    <w:p w14:paraId="0C507A4B"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Il criterio di aggiudicazione dell’appalto è disciplinato dall’art.95 c.7 del D.lgs.50/2016 e ss.mm. e ii.</w:t>
      </w:r>
    </w:p>
    <w:p w14:paraId="06703743" w14:textId="77777777" w:rsidR="0094677B" w:rsidRPr="0094677B" w:rsidRDefault="0094677B" w:rsidP="0094677B">
      <w:pPr>
        <w:pBdr>
          <w:top w:val="nil"/>
          <w:left w:val="nil"/>
          <w:bottom w:val="nil"/>
          <w:right w:val="nil"/>
          <w:between w:val="nil"/>
        </w:pBdr>
        <w:tabs>
          <w:tab w:val="right" w:pos="9630"/>
        </w:tabs>
        <w:spacing w:before="60" w:after="0" w:line="240" w:lineRule="auto"/>
        <w:ind w:left="360"/>
        <w:jc w:val="both"/>
        <w:rPr>
          <w:rFonts w:ascii="Trebuchet MS" w:eastAsia="Trebuchet MS" w:hAnsi="Trebuchet MS" w:cs="Trebuchet MS"/>
          <w:sz w:val="20"/>
          <w:szCs w:val="20"/>
          <w:lang w:eastAsia="it-IT"/>
        </w:rPr>
      </w:pPr>
    </w:p>
    <w:p w14:paraId="1A04B8AB" w14:textId="77777777" w:rsidR="0094677B" w:rsidRPr="0094677B" w:rsidRDefault="0094677B" w:rsidP="0094677B">
      <w:pPr>
        <w:pBdr>
          <w:top w:val="nil"/>
          <w:left w:val="nil"/>
          <w:bottom w:val="nil"/>
          <w:right w:val="nil"/>
          <w:between w:val="nil"/>
        </w:pBd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 2.5) Criteri di aggiudicazione</w:t>
      </w:r>
    </w:p>
    <w:p w14:paraId="422D3BDB" w14:textId="77777777" w:rsidR="0094677B" w:rsidRPr="0094677B" w:rsidRDefault="0094677B" w:rsidP="0094677B">
      <w:pPr>
        <w:pBdr>
          <w:top w:val="nil"/>
          <w:left w:val="nil"/>
          <w:bottom w:val="nil"/>
          <w:right w:val="nil"/>
          <w:between w:val="nil"/>
        </w:pBdr>
        <w:tabs>
          <w:tab w:val="left" w:pos="6379"/>
          <w:tab w:val="right" w:pos="9630"/>
        </w:tabs>
        <w:spacing w:before="60" w:after="0" w:line="240" w:lineRule="auto"/>
        <w:ind w:left="284"/>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Criterio dell’offerta più vantaggiosa (criteri qualitativi) a </w:t>
      </w:r>
      <w:r w:rsidRPr="0094677B">
        <w:rPr>
          <w:rFonts w:ascii="Trebuchet MS" w:eastAsia="Trebuchet MS" w:hAnsi="Trebuchet MS" w:cs="Trebuchet MS"/>
          <w:sz w:val="20"/>
          <w:szCs w:val="20"/>
          <w:u w:val="single"/>
          <w:lang w:val="it" w:eastAsia="it-IT"/>
        </w:rPr>
        <w:t>prezzo fisso</w:t>
      </w:r>
      <w:r w:rsidRPr="0094677B">
        <w:rPr>
          <w:rFonts w:ascii="Trebuchet MS" w:eastAsia="Trebuchet MS" w:hAnsi="Trebuchet MS" w:cs="Trebuchet MS"/>
          <w:sz w:val="20"/>
          <w:szCs w:val="20"/>
          <w:lang w:val="it" w:eastAsia="it-IT"/>
        </w:rPr>
        <w:t xml:space="preserve"> ai sensi degli artt.60 e 95 del D.lgs.50/2016.</w:t>
      </w:r>
    </w:p>
    <w:p w14:paraId="5C5E2230" w14:textId="77777777" w:rsidR="0094677B" w:rsidRPr="0094677B" w:rsidRDefault="0094677B" w:rsidP="0094677B">
      <w:pPr>
        <w:pBdr>
          <w:top w:val="nil"/>
          <w:left w:val="nil"/>
          <w:bottom w:val="nil"/>
          <w:right w:val="nil"/>
          <w:between w:val="nil"/>
        </w:pBdr>
        <w:tabs>
          <w:tab w:val="left" w:pos="6379"/>
          <w:tab w:val="right" w:pos="9630"/>
        </w:tabs>
        <w:spacing w:before="60" w:after="0" w:line="240" w:lineRule="auto"/>
        <w:ind w:left="284"/>
        <w:jc w:val="both"/>
        <w:rPr>
          <w:rFonts w:ascii="Trebuchet MS" w:eastAsia="Trebuchet MS" w:hAnsi="Trebuchet MS" w:cs="Trebuchet MS"/>
          <w:sz w:val="20"/>
          <w:szCs w:val="20"/>
          <w:lang w:val="it" w:eastAsia="it-IT"/>
        </w:rPr>
      </w:pPr>
    </w:p>
    <w:p w14:paraId="22527F47" w14:textId="77777777" w:rsidR="0094677B" w:rsidRPr="0094677B" w:rsidRDefault="0094677B" w:rsidP="0094677B">
      <w:pPr>
        <w:pBdr>
          <w:top w:val="nil"/>
          <w:left w:val="nil"/>
          <w:bottom w:val="nil"/>
          <w:right w:val="nil"/>
          <w:between w:val="nil"/>
        </w:pBdr>
        <w:tabs>
          <w:tab w:val="left" w:pos="6379"/>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 2.6) Valore stimato</w:t>
      </w:r>
    </w:p>
    <w:p w14:paraId="51E99997" w14:textId="77777777" w:rsidR="0094677B" w:rsidRPr="0094677B" w:rsidRDefault="0094677B" w:rsidP="0094677B">
      <w:pPr>
        <w:tabs>
          <w:tab w:val="right" w:pos="9630"/>
        </w:tabs>
        <w:spacing w:before="60" w:after="0" w:line="240" w:lineRule="auto"/>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    Valore totale, Iva esclusa: € 311.721,31 - inclusi oneri stimati per la sicurezza pari a € 2.000,00</w:t>
      </w:r>
    </w:p>
    <w:p w14:paraId="26DE6459" w14:textId="77777777" w:rsidR="0094677B" w:rsidRPr="0094677B" w:rsidRDefault="0094677B" w:rsidP="00E5195A">
      <w:pPr>
        <w:tabs>
          <w:tab w:val="right" w:pos="9630"/>
        </w:tabs>
        <w:spacing w:before="60" w:after="0" w:line="240" w:lineRule="auto"/>
        <w:jc w:val="both"/>
        <w:rPr>
          <w:rFonts w:ascii="Trebuchet MS" w:eastAsia="Trebuchet MS" w:hAnsi="Trebuchet MS" w:cs="Trebuchet MS"/>
          <w:sz w:val="20"/>
          <w:szCs w:val="20"/>
          <w:lang w:val="it" w:eastAsia="it-IT"/>
        </w:rPr>
      </w:pPr>
    </w:p>
    <w:p w14:paraId="3CBC7BB4" w14:textId="77777777" w:rsidR="0094677B" w:rsidRPr="0094677B" w:rsidRDefault="0094677B" w:rsidP="0094677B">
      <w:pPr>
        <w:pBdr>
          <w:top w:val="nil"/>
          <w:left w:val="nil"/>
          <w:bottom w:val="nil"/>
          <w:right w:val="nil"/>
          <w:between w:val="nil"/>
        </w:pBdr>
        <w:tabs>
          <w:tab w:val="left" w:pos="6379"/>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 2.7) Durata del contratto d’appalto, dell’accordo quadro o del sistema dinamico di acquisizione</w:t>
      </w:r>
    </w:p>
    <w:p w14:paraId="25E28C46" w14:textId="51E1BB0D"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    La durata complessiva della procedura non potrà superare il termine del 30/</w:t>
      </w:r>
      <w:r w:rsidR="009A416E">
        <w:rPr>
          <w:rFonts w:ascii="Trebuchet MS" w:eastAsia="Trebuchet MS" w:hAnsi="Trebuchet MS" w:cs="Trebuchet MS"/>
          <w:sz w:val="20"/>
          <w:szCs w:val="20"/>
          <w:lang w:val="it" w:eastAsia="it-IT"/>
        </w:rPr>
        <w:t>09</w:t>
      </w:r>
      <w:r w:rsidRPr="0094677B">
        <w:rPr>
          <w:rFonts w:ascii="Trebuchet MS" w:eastAsia="Trebuchet MS" w:hAnsi="Trebuchet MS" w:cs="Trebuchet MS"/>
          <w:sz w:val="20"/>
          <w:szCs w:val="20"/>
          <w:lang w:val="it" w:eastAsia="it-IT"/>
        </w:rPr>
        <w:t>/2021.</w:t>
      </w:r>
    </w:p>
    <w:p w14:paraId="7F2C11C6"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58B2C98C"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 2.9) Informazioni relative ai limiti al numero di candidati che saranno invitati a partecipare</w:t>
      </w:r>
    </w:p>
    <w:p w14:paraId="5DEAD9FF" w14:textId="77777777" w:rsidR="0094677B" w:rsidRPr="0094677B" w:rsidRDefault="0094677B" w:rsidP="0094677B">
      <w:pPr>
        <w:tabs>
          <w:tab w:val="right" w:pos="9630"/>
        </w:tabs>
        <w:spacing w:before="60" w:after="0" w:line="240" w:lineRule="auto"/>
        <w:ind w:left="426" w:hanging="426"/>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ab/>
        <w:t>Nessun limite</w:t>
      </w:r>
    </w:p>
    <w:p w14:paraId="15B9F92F"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1A9948FB"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 2.10) Informazioni sulle varianti:</w:t>
      </w:r>
    </w:p>
    <w:p w14:paraId="059194E9"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Sono autorizzate varianti: no</w:t>
      </w:r>
    </w:p>
    <w:p w14:paraId="3D0A6C50"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53E9FF58"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 2.11) Informazioni relative alle opzioni:</w:t>
      </w:r>
    </w:p>
    <w:p w14:paraId="52F5BB58"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Opzioni: no</w:t>
      </w:r>
    </w:p>
    <w:p w14:paraId="3820F9C8"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641B4D30"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 2.12) Informazioni relative ai cataloghi elettronici</w:t>
      </w:r>
    </w:p>
    <w:p w14:paraId="066D1AFC"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22B0E248"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II.2.13) Informazioni relative ai fondi dell’Unione Europea</w:t>
      </w:r>
    </w:p>
    <w:p w14:paraId="76E5A87D"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L'appalto è connesso ad un progetto e/o programma finanziato da fondi dell’Unione Europea.</w:t>
      </w:r>
    </w:p>
    <w:p w14:paraId="637DB66C" w14:textId="1A843164"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La Stazione appaltante ha ricevuto sul presente progetto il contributo finanziato da Sardegna Ricerche a valere sull’azione 1.3.1 del POR FESR Sardegna 2014 – 2020,</w:t>
      </w:r>
      <w:r w:rsidR="00A62CA3">
        <w:rPr>
          <w:rFonts w:ascii="Trebuchet MS" w:eastAsia="Trebuchet MS" w:hAnsi="Trebuchet MS" w:cs="Trebuchet MS"/>
          <w:sz w:val="20"/>
          <w:szCs w:val="20"/>
          <w:lang w:val="it" w:eastAsia="it-IT"/>
        </w:rPr>
        <w:t xml:space="preserve"> </w:t>
      </w:r>
      <w:r w:rsidRPr="0094677B">
        <w:rPr>
          <w:rFonts w:ascii="Trebuchet MS" w:eastAsia="Trebuchet MS" w:hAnsi="Trebuchet MS" w:cs="Trebuchet MS"/>
          <w:sz w:val="20"/>
          <w:szCs w:val="20"/>
          <w:lang w:val="it" w:eastAsia="it-IT"/>
        </w:rPr>
        <w:t xml:space="preserve">Asse Prioritario I - Ricerca Scientifica, Sviluppo Tecnologico e Innovazione. </w:t>
      </w:r>
    </w:p>
    <w:p w14:paraId="68CC468B"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p>
    <w:p w14:paraId="7FBB1F41"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II.2.14) Informazioni complementari:</w:t>
      </w:r>
    </w:p>
    <w:p w14:paraId="48AAFBDF" w14:textId="77777777" w:rsidR="0094677B" w:rsidRPr="0094677B" w:rsidRDefault="0094677B" w:rsidP="0094677B">
      <w:pPr>
        <w:tabs>
          <w:tab w:val="right" w:pos="9630"/>
        </w:tabs>
        <w:spacing w:before="60" w:after="0" w:line="240" w:lineRule="auto"/>
        <w:ind w:left="426"/>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Contenute nel disciplinare e nei documenti di gara.</w:t>
      </w:r>
    </w:p>
    <w:p w14:paraId="41D50CB7" w14:textId="77777777" w:rsidR="00B31635" w:rsidRDefault="00B31635" w:rsidP="00054228">
      <w:pPr>
        <w:tabs>
          <w:tab w:val="right" w:pos="9630"/>
        </w:tabs>
        <w:spacing w:before="60" w:after="0" w:line="240" w:lineRule="auto"/>
        <w:jc w:val="both"/>
        <w:rPr>
          <w:rFonts w:ascii="Trebuchet MS" w:eastAsia="Trebuchet MS" w:hAnsi="Trebuchet MS" w:cs="Trebuchet MS"/>
          <w:b/>
          <w:sz w:val="20"/>
          <w:szCs w:val="20"/>
          <w:lang w:val="it" w:eastAsia="it-IT"/>
        </w:rPr>
      </w:pPr>
    </w:p>
    <w:p w14:paraId="667D110E" w14:textId="77777777" w:rsidR="0094677B" w:rsidRPr="0094677B" w:rsidRDefault="0094677B" w:rsidP="0082387D">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lastRenderedPageBreak/>
        <w:t>Ulteriori informazioni:</w:t>
      </w:r>
    </w:p>
    <w:p w14:paraId="67044430" w14:textId="77777777" w:rsidR="0094677B" w:rsidRPr="0094677B" w:rsidRDefault="0094677B" w:rsidP="0082387D">
      <w:pPr>
        <w:tabs>
          <w:tab w:val="right" w:pos="9630"/>
        </w:tabs>
        <w:spacing w:before="60" w:after="0" w:line="240" w:lineRule="auto"/>
        <w:jc w:val="both"/>
      </w:pPr>
      <w:r w:rsidRPr="0094677B">
        <w:rPr>
          <w:rFonts w:ascii="Trebuchet MS" w:eastAsia="Trebuchet MS" w:hAnsi="Trebuchet MS" w:cs="Trebuchet MS"/>
          <w:sz w:val="20"/>
          <w:szCs w:val="20"/>
          <w:lang w:val="it" w:eastAsia="it-IT"/>
        </w:rPr>
        <w:t xml:space="preserve">Si veda il sito web del progetto </w:t>
      </w:r>
      <w:hyperlink r:id="rId16" w:history="1">
        <w:r w:rsidRPr="0094677B">
          <w:rPr>
            <w:color w:val="0000FF" w:themeColor="hyperlink"/>
            <w:u w:val="single"/>
          </w:rPr>
          <w:t>http://www.parcodiportoconte.it/</w:t>
        </w:r>
      </w:hyperlink>
    </w:p>
    <w:p w14:paraId="29B8DA2D"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p>
    <w:p w14:paraId="3396CA0A"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u w:val="single"/>
          <w:lang w:val="it" w:eastAsia="it-IT"/>
        </w:rPr>
      </w:pPr>
      <w:r w:rsidRPr="0094677B">
        <w:rPr>
          <w:rFonts w:ascii="Trebuchet MS" w:eastAsia="Trebuchet MS" w:hAnsi="Trebuchet MS" w:cs="Trebuchet MS"/>
          <w:b/>
          <w:sz w:val="20"/>
          <w:szCs w:val="20"/>
          <w:u w:val="single"/>
          <w:lang w:val="it" w:eastAsia="it-IT"/>
        </w:rPr>
        <w:t>Sezione III: Informazioni di carattere giuridico, economico, finanziario e tecnico</w:t>
      </w:r>
    </w:p>
    <w:p w14:paraId="3AD1A55E"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17C1E8C8"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III.1) Condizioni di partecipazione</w:t>
      </w:r>
    </w:p>
    <w:p w14:paraId="050C0E23"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3A870126"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III.1.1) Abilitazione all’esercizio dell’attività professionale, inclusi i requisiti relativi all’iscrizione nell’albo professionale o nel registro commerciale</w:t>
      </w:r>
    </w:p>
    <w:p w14:paraId="6843DDA1" w14:textId="77777777" w:rsidR="0094677B" w:rsidRPr="0094677B" w:rsidRDefault="0094677B" w:rsidP="0094677B">
      <w:pPr>
        <w:tabs>
          <w:tab w:val="right" w:pos="9630"/>
        </w:tabs>
        <w:spacing w:before="60" w:after="0" w:line="240" w:lineRule="auto"/>
        <w:ind w:left="567"/>
        <w:jc w:val="both"/>
        <w:rPr>
          <w:rFonts w:ascii="Trebuchet MS" w:eastAsia="Trebuchet MS" w:hAnsi="Trebuchet MS" w:cs="Trebuchet MS"/>
          <w:sz w:val="20"/>
          <w:szCs w:val="20"/>
          <w:lang w:val="it" w:eastAsia="it-IT"/>
        </w:rPr>
      </w:pPr>
      <w:r w:rsidRPr="0094677B">
        <w:rPr>
          <w:rFonts w:ascii="Trebuchet MS" w:eastAsia="Trebuchet MS" w:hAnsi="Trebuchet MS" w:cs="Trebuchet MS"/>
          <w:b/>
          <w:sz w:val="20"/>
          <w:szCs w:val="20"/>
          <w:lang w:val="it" w:eastAsia="it-IT"/>
        </w:rPr>
        <w:tab/>
      </w:r>
      <w:r w:rsidRPr="0094677B">
        <w:rPr>
          <w:rFonts w:ascii="Trebuchet MS" w:eastAsia="Trebuchet MS" w:hAnsi="Trebuchet MS" w:cs="Trebuchet MS"/>
          <w:sz w:val="20"/>
          <w:szCs w:val="20"/>
          <w:lang w:val="it" w:eastAsia="it-IT"/>
        </w:rPr>
        <w:t>Iscrizione alla Camera di Commercio, Industria, Artigianato, Agricoltura – Ufficio Registro Imprese per attività analoghe a quelle oggetto del presente appalto di ricerca e sviluppo.</w:t>
      </w:r>
    </w:p>
    <w:p w14:paraId="0E9A46A1"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ab/>
        <w:t>Per ulteriori dettagli si rimanda al disciplinare di gara.</w:t>
      </w:r>
    </w:p>
    <w:p w14:paraId="4F94397F"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046EA105"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III.1.2) Capacità economica e finanziaria</w:t>
      </w:r>
    </w:p>
    <w:p w14:paraId="2323F52A" w14:textId="77777777" w:rsidR="0094677B" w:rsidRPr="0094677B" w:rsidRDefault="0094677B" w:rsidP="0094677B">
      <w:pPr>
        <w:tabs>
          <w:tab w:val="right" w:pos="9630"/>
        </w:tabs>
        <w:spacing w:before="60" w:after="0" w:line="240" w:lineRule="auto"/>
        <w:ind w:left="567"/>
        <w:jc w:val="both"/>
        <w:rPr>
          <w:rFonts w:ascii="Trebuchet MS" w:eastAsia="Trebuchet MS" w:hAnsi="Trebuchet MS" w:cs="Trebuchet MS"/>
          <w:sz w:val="20"/>
          <w:szCs w:val="20"/>
          <w:lang w:eastAsia="it-IT"/>
        </w:rPr>
      </w:pPr>
      <w:r w:rsidRPr="0094677B">
        <w:rPr>
          <w:rFonts w:ascii="Trebuchet MS" w:eastAsia="Trebuchet MS" w:hAnsi="Trebuchet MS" w:cs="Trebuchet MS"/>
          <w:sz w:val="20"/>
          <w:szCs w:val="20"/>
          <w:lang w:eastAsia="it-IT"/>
        </w:rPr>
        <w:t xml:space="preserve">Viene richiesto di aver realizzato negli ultimi tre esercizi 2016-2017-2018, </w:t>
      </w:r>
      <w:r w:rsidRPr="0094677B">
        <w:rPr>
          <w:rFonts w:ascii="Trebuchet MS" w:eastAsia="Trebuchet MS" w:hAnsi="Trebuchet MS" w:cs="Trebuchet MS"/>
          <w:b/>
          <w:sz w:val="20"/>
          <w:szCs w:val="20"/>
          <w:lang w:eastAsia="it-IT"/>
        </w:rPr>
        <w:t>un fatturato globale</w:t>
      </w:r>
      <w:r w:rsidRPr="0094677B">
        <w:rPr>
          <w:rFonts w:ascii="Trebuchet MS" w:eastAsia="Trebuchet MS" w:hAnsi="Trebuchet MS" w:cs="Trebuchet MS"/>
          <w:sz w:val="20"/>
          <w:szCs w:val="20"/>
          <w:lang w:eastAsia="it-IT"/>
        </w:rPr>
        <w:t xml:space="preserve"> nel settore di attività oggetto dell’appalto pari a € 150,000.00 IVA esclusa. </w:t>
      </w:r>
    </w:p>
    <w:p w14:paraId="35811683" w14:textId="77777777" w:rsidR="0094677B" w:rsidRPr="0094677B" w:rsidRDefault="0094677B" w:rsidP="0094677B">
      <w:pPr>
        <w:tabs>
          <w:tab w:val="right" w:pos="9630"/>
        </w:tabs>
        <w:spacing w:before="60" w:after="0" w:line="240" w:lineRule="auto"/>
        <w:ind w:left="567"/>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Per ulteriori dettagli si rimanda al disciplinare di gara.</w:t>
      </w:r>
    </w:p>
    <w:p w14:paraId="344979A8"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01CCE240"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III. 1.3) Capacità professionale e tecnica</w:t>
      </w:r>
    </w:p>
    <w:p w14:paraId="2C1057EA" w14:textId="77777777" w:rsidR="0094677B" w:rsidRPr="0094677B" w:rsidRDefault="0094677B" w:rsidP="0094677B">
      <w:pPr>
        <w:tabs>
          <w:tab w:val="right" w:pos="9630"/>
        </w:tabs>
        <w:spacing w:before="60" w:after="0" w:line="240" w:lineRule="auto"/>
        <w:ind w:left="567" w:hanging="567"/>
        <w:jc w:val="both"/>
        <w:rPr>
          <w:rFonts w:asciiTheme="majorHAnsi" w:hAnsiTheme="majorHAnsi"/>
          <w:b/>
        </w:rPr>
      </w:pPr>
      <w:r w:rsidRPr="0094677B">
        <w:rPr>
          <w:rFonts w:ascii="Trebuchet MS" w:eastAsia="Trebuchet MS" w:hAnsi="Trebuchet MS" w:cs="Trebuchet MS"/>
          <w:b/>
          <w:sz w:val="20"/>
          <w:szCs w:val="20"/>
          <w:lang w:val="it" w:eastAsia="it-IT"/>
        </w:rPr>
        <w:tab/>
      </w:r>
      <w:r w:rsidRPr="0094677B">
        <w:rPr>
          <w:rFonts w:ascii="Trebuchet MS" w:eastAsia="Trebuchet MS" w:hAnsi="Trebuchet MS" w:cs="Trebuchet MS"/>
          <w:sz w:val="20"/>
          <w:szCs w:val="20"/>
          <w:lang w:val="it" w:eastAsia="it-IT"/>
        </w:rPr>
        <w:t>Dimostrare di aver eseguito, con esito positivo, nei 3 (tre) anni antecedenti la data di pubblicazione del bando di gara, almeno n.1 contratto di servizi di ricerca e sviluppo, esclusa la ricerca di base, con riferimento al settore della produzione di energia da fonti rinnovabili (ad esempio: solare, termica, eolica, marina, geotermica, biomasse)</w:t>
      </w:r>
    </w:p>
    <w:p w14:paraId="0A097B5D"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sz w:val="20"/>
          <w:szCs w:val="20"/>
          <w:lang w:val="it" w:eastAsia="it-IT"/>
        </w:rPr>
      </w:pPr>
      <w:r w:rsidRPr="0094677B">
        <w:rPr>
          <w:rFonts w:ascii="Trebuchet MS" w:eastAsia="Trebuchet MS" w:hAnsi="Trebuchet MS" w:cs="Trebuchet MS"/>
          <w:b/>
          <w:sz w:val="20"/>
          <w:szCs w:val="20"/>
          <w:lang w:val="it" w:eastAsia="it-IT"/>
        </w:rPr>
        <w:tab/>
      </w:r>
      <w:r w:rsidRPr="0094677B">
        <w:rPr>
          <w:rFonts w:ascii="Trebuchet MS" w:eastAsia="Trebuchet MS" w:hAnsi="Trebuchet MS" w:cs="Trebuchet MS"/>
          <w:sz w:val="20"/>
          <w:szCs w:val="20"/>
          <w:lang w:val="it" w:eastAsia="it-IT"/>
        </w:rPr>
        <w:t>Per ulteriori dettagli</w:t>
      </w:r>
      <w:r w:rsidRPr="0094677B">
        <w:rPr>
          <w:rFonts w:ascii="Trebuchet MS" w:eastAsia="Trebuchet MS" w:hAnsi="Trebuchet MS" w:cs="Trebuchet MS"/>
          <w:b/>
          <w:sz w:val="20"/>
          <w:szCs w:val="20"/>
          <w:lang w:val="it" w:eastAsia="it-IT"/>
        </w:rPr>
        <w:t xml:space="preserve"> </w:t>
      </w:r>
      <w:r w:rsidRPr="0094677B">
        <w:rPr>
          <w:rFonts w:ascii="Trebuchet MS" w:eastAsia="Trebuchet MS" w:hAnsi="Trebuchet MS" w:cs="Trebuchet MS"/>
          <w:sz w:val="20"/>
          <w:szCs w:val="20"/>
          <w:lang w:val="it" w:eastAsia="it-IT"/>
        </w:rPr>
        <w:t>si rimanda al disciplinare di gara.</w:t>
      </w:r>
    </w:p>
    <w:p w14:paraId="0DF768DC"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677E80E2"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III. 1.4) Norme e criteri oggettivi di partecipazione</w:t>
      </w:r>
    </w:p>
    <w:p w14:paraId="7B234A72" w14:textId="77777777" w:rsidR="0094677B" w:rsidRPr="0094677B" w:rsidRDefault="0094677B" w:rsidP="0094677B">
      <w:pPr>
        <w:tabs>
          <w:tab w:val="right" w:pos="9630"/>
        </w:tabs>
        <w:spacing w:before="60" w:after="0" w:line="240" w:lineRule="auto"/>
        <w:ind w:left="567"/>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Le norme, le modalità e i criteri di partecipazione sono articolati nel Disciplinare di gara</w:t>
      </w:r>
    </w:p>
    <w:p w14:paraId="13EBEA48"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5C87912A"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III.1.5) Informazioni concernenti appalti riservati</w:t>
      </w:r>
    </w:p>
    <w:p w14:paraId="57D8DD43"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ab/>
        <w:t>No</w:t>
      </w:r>
    </w:p>
    <w:p w14:paraId="35AD277C"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sz w:val="20"/>
          <w:szCs w:val="20"/>
          <w:lang w:val="it" w:eastAsia="it-IT"/>
        </w:rPr>
      </w:pPr>
    </w:p>
    <w:p w14:paraId="4ED09936"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III. 2) Condizioni relative al contratto d’appalto</w:t>
      </w:r>
    </w:p>
    <w:p w14:paraId="33928C4D"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b/>
          <w:sz w:val="20"/>
          <w:szCs w:val="20"/>
          <w:lang w:val="it" w:eastAsia="it-IT"/>
        </w:rPr>
      </w:pPr>
    </w:p>
    <w:p w14:paraId="181D3E17"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III. 2.1) Informazioni relative ad una particolare professione</w:t>
      </w:r>
    </w:p>
    <w:p w14:paraId="34E3C336"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b/>
          <w:sz w:val="20"/>
          <w:szCs w:val="20"/>
          <w:lang w:val="it" w:eastAsia="it-IT"/>
        </w:rPr>
      </w:pPr>
    </w:p>
    <w:p w14:paraId="20C4B3B4"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III. 2.2) Condizioni di esecuzione del contratto d’appalto</w:t>
      </w:r>
    </w:p>
    <w:p w14:paraId="352EC600"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sz w:val="20"/>
          <w:szCs w:val="20"/>
          <w:lang w:val="it" w:eastAsia="it-IT"/>
        </w:rPr>
      </w:pPr>
      <w:r w:rsidRPr="0094677B">
        <w:rPr>
          <w:rFonts w:ascii="Trebuchet MS" w:eastAsia="Trebuchet MS" w:hAnsi="Trebuchet MS" w:cs="Trebuchet MS"/>
          <w:b/>
          <w:sz w:val="20"/>
          <w:szCs w:val="20"/>
          <w:lang w:val="it" w:eastAsia="it-IT"/>
        </w:rPr>
        <w:tab/>
      </w:r>
      <w:r w:rsidRPr="0094677B">
        <w:rPr>
          <w:rFonts w:ascii="Trebuchet MS" w:eastAsia="Trebuchet MS" w:hAnsi="Trebuchet MS" w:cs="Trebuchet MS"/>
          <w:sz w:val="20"/>
          <w:szCs w:val="20"/>
          <w:lang w:val="it" w:eastAsia="it-IT"/>
        </w:rPr>
        <w:t>Le modalità di esecuzione del contratto sono descritte nella documentazione di gara e saranno ulteriormente specificate nel relativo contratto allegato alla documentazione</w:t>
      </w:r>
    </w:p>
    <w:p w14:paraId="5E6EBE06"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sz w:val="20"/>
          <w:szCs w:val="20"/>
          <w:lang w:val="it" w:eastAsia="it-IT"/>
        </w:rPr>
      </w:pPr>
    </w:p>
    <w:p w14:paraId="597CC5B8"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III. 2.3) Informazioni relative al personale responsabile dell’esecuzione del contratto d’appalto</w:t>
      </w:r>
    </w:p>
    <w:p w14:paraId="22BA0002"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ab/>
        <w:t xml:space="preserve">Responsabile Unico del Procedimento Dott. Pasquale </w:t>
      </w:r>
      <w:proofErr w:type="spellStart"/>
      <w:r w:rsidRPr="0094677B">
        <w:rPr>
          <w:rFonts w:ascii="Trebuchet MS" w:eastAsia="Trebuchet MS" w:hAnsi="Trebuchet MS" w:cs="Trebuchet MS"/>
          <w:sz w:val="20"/>
          <w:szCs w:val="20"/>
          <w:lang w:val="it" w:eastAsia="it-IT"/>
        </w:rPr>
        <w:t>Sinis</w:t>
      </w:r>
      <w:proofErr w:type="spellEnd"/>
      <w:r w:rsidRPr="0094677B">
        <w:rPr>
          <w:rFonts w:ascii="Trebuchet MS" w:eastAsia="Trebuchet MS" w:hAnsi="Trebuchet MS" w:cs="Trebuchet MS"/>
          <w:sz w:val="20"/>
          <w:szCs w:val="20"/>
          <w:lang w:val="it" w:eastAsia="it-IT"/>
        </w:rPr>
        <w:t xml:space="preserve">, </w:t>
      </w:r>
    </w:p>
    <w:p w14:paraId="549F103C" w14:textId="16FD00D9" w:rsidR="0094677B" w:rsidRPr="0094677B" w:rsidRDefault="00FC72E7" w:rsidP="0094677B">
      <w:pPr>
        <w:tabs>
          <w:tab w:val="right" w:pos="9630"/>
        </w:tabs>
        <w:spacing w:before="60" w:after="0" w:line="240" w:lineRule="auto"/>
        <w:ind w:left="567" w:hanging="567"/>
        <w:jc w:val="both"/>
      </w:pPr>
      <w:r>
        <w:rPr>
          <w:rFonts w:ascii="Trebuchet MS" w:eastAsia="Trebuchet MS" w:hAnsi="Trebuchet MS" w:cs="Trebuchet MS"/>
          <w:sz w:val="20"/>
          <w:szCs w:val="20"/>
          <w:lang w:val="it" w:eastAsia="it-IT"/>
        </w:rPr>
        <w:tab/>
        <w:t>T</w:t>
      </w:r>
      <w:r w:rsidR="0094677B" w:rsidRPr="0094677B">
        <w:rPr>
          <w:rFonts w:ascii="Trebuchet MS" w:eastAsia="Trebuchet MS" w:hAnsi="Trebuchet MS" w:cs="Trebuchet MS"/>
          <w:sz w:val="20"/>
          <w:szCs w:val="20"/>
          <w:lang w:val="it" w:eastAsia="it-IT"/>
        </w:rPr>
        <w:t xml:space="preserve">el. </w:t>
      </w:r>
      <w:r w:rsidR="0094677B" w:rsidRPr="0094677B">
        <w:rPr>
          <w:rFonts w:ascii="Trebuchet MS" w:eastAsia="Trebuchet MS" w:hAnsi="Trebuchet MS" w:cs="Trebuchet MS"/>
          <w:sz w:val="20"/>
          <w:szCs w:val="20"/>
          <w:lang w:eastAsia="it-IT"/>
        </w:rPr>
        <w:softHyphen/>
        <w:t xml:space="preserve"> +39 079 945005 - email </w:t>
      </w:r>
      <w:hyperlink r:id="rId17" w:history="1">
        <w:r w:rsidR="0094677B" w:rsidRPr="0094677B">
          <w:rPr>
            <w:color w:val="0000FF" w:themeColor="hyperlink"/>
            <w:u w:val="single"/>
          </w:rPr>
          <w:t>amministrazione2@parcodiportoconte.it</w:t>
        </w:r>
      </w:hyperlink>
      <w:r w:rsidR="0094677B" w:rsidRPr="0094677B">
        <w:t xml:space="preserve"> </w:t>
      </w:r>
    </w:p>
    <w:p w14:paraId="753EC0E2" w14:textId="77777777" w:rsidR="0094677B" w:rsidRPr="0094677B" w:rsidRDefault="0094677B" w:rsidP="0094677B">
      <w:pPr>
        <w:tabs>
          <w:tab w:val="right" w:pos="9630"/>
        </w:tabs>
        <w:spacing w:before="60" w:after="0" w:line="240" w:lineRule="auto"/>
        <w:ind w:left="567" w:hanging="567"/>
        <w:jc w:val="both"/>
      </w:pPr>
      <w:r w:rsidRPr="0094677B">
        <w:lastRenderedPageBreak/>
        <w:tab/>
        <w:t xml:space="preserve">Mail PEC: </w:t>
      </w:r>
      <w:hyperlink r:id="rId18" w:history="1">
        <w:r w:rsidRPr="0094677B">
          <w:rPr>
            <w:color w:val="0000FF" w:themeColor="hyperlink"/>
            <w:u w:val="single"/>
          </w:rPr>
          <w:t>parcodiportoconte@pec.it</w:t>
        </w:r>
      </w:hyperlink>
    </w:p>
    <w:p w14:paraId="037A9E4F" w14:textId="77777777" w:rsidR="0094677B" w:rsidRPr="0094677B" w:rsidRDefault="0094677B" w:rsidP="0094677B">
      <w:pPr>
        <w:tabs>
          <w:tab w:val="right" w:pos="9630"/>
        </w:tabs>
        <w:spacing w:before="60" w:after="0" w:line="240" w:lineRule="auto"/>
        <w:ind w:left="567" w:hanging="567"/>
        <w:jc w:val="both"/>
        <w:rPr>
          <w:rFonts w:ascii="Trebuchet MS" w:eastAsia="Trebuchet MS" w:hAnsi="Trebuchet MS" w:cs="Trebuchet MS"/>
          <w:sz w:val="20"/>
          <w:szCs w:val="20"/>
          <w:lang w:eastAsia="it-IT"/>
        </w:rPr>
      </w:pPr>
      <w:r w:rsidRPr="0094677B">
        <w:t xml:space="preserve">   </w:t>
      </w:r>
    </w:p>
    <w:p w14:paraId="1217E816"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u w:val="single"/>
          <w:lang w:val="it" w:eastAsia="it-IT"/>
        </w:rPr>
      </w:pPr>
      <w:r w:rsidRPr="0094677B">
        <w:rPr>
          <w:rFonts w:ascii="Trebuchet MS" w:eastAsia="Trebuchet MS" w:hAnsi="Trebuchet MS" w:cs="Trebuchet MS"/>
          <w:b/>
          <w:sz w:val="20"/>
          <w:szCs w:val="20"/>
          <w:u w:val="single"/>
          <w:lang w:val="it" w:eastAsia="it-IT"/>
        </w:rPr>
        <w:t>Sezione VI: Procedura</w:t>
      </w:r>
    </w:p>
    <w:p w14:paraId="3A2F4DFD"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43CFAD04"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VI.1) Descrizione</w:t>
      </w:r>
    </w:p>
    <w:p w14:paraId="112D3E95"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0FC6A296"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VI.1.1) Tipo di procedura</w:t>
      </w:r>
    </w:p>
    <w:p w14:paraId="525820C5"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Procedura aperta.</w:t>
      </w:r>
    </w:p>
    <w:p w14:paraId="19EDFBF6"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59E7D067"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VI.1.2) Informazioni su accordo quadro o un sistema dinamico di acquisizione:</w:t>
      </w:r>
    </w:p>
    <w:p w14:paraId="2D32D690" w14:textId="77777777" w:rsidR="0094677B" w:rsidRPr="0094677B" w:rsidRDefault="0094677B" w:rsidP="0094677B">
      <w:pPr>
        <w:tabs>
          <w:tab w:val="right" w:pos="9630"/>
        </w:tabs>
        <w:spacing w:before="60" w:after="0" w:line="240" w:lineRule="auto"/>
        <w:ind w:left="426"/>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No</w:t>
      </w:r>
    </w:p>
    <w:p w14:paraId="125E0F4F"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3D7DF7A1"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VI.1.4) Informazioni relative alla riduzione del numero di soluzioni o di offerte durante la negoziazione</w:t>
      </w:r>
    </w:p>
    <w:p w14:paraId="2491C297"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No</w:t>
      </w:r>
    </w:p>
    <w:p w14:paraId="06E2F24D"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4B762679"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VI.1.6) Informazioni sull’asta elettronica:</w:t>
      </w:r>
    </w:p>
    <w:p w14:paraId="0EAEDA22" w14:textId="77777777" w:rsidR="0094677B" w:rsidRPr="0094677B" w:rsidRDefault="0094677B" w:rsidP="0094677B">
      <w:pPr>
        <w:tabs>
          <w:tab w:val="right" w:pos="9630"/>
        </w:tabs>
        <w:spacing w:before="60" w:after="0" w:line="240" w:lineRule="auto"/>
        <w:ind w:left="426" w:hanging="66"/>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No</w:t>
      </w:r>
    </w:p>
    <w:p w14:paraId="64F30C96" w14:textId="77777777" w:rsidR="0094677B" w:rsidRPr="0094677B" w:rsidRDefault="0094677B" w:rsidP="0094677B">
      <w:pPr>
        <w:tabs>
          <w:tab w:val="right" w:pos="9630"/>
        </w:tabs>
        <w:spacing w:before="60" w:after="0" w:line="240" w:lineRule="auto"/>
        <w:ind w:left="360"/>
        <w:jc w:val="both"/>
        <w:rPr>
          <w:rFonts w:ascii="Trebuchet MS" w:eastAsia="Trebuchet MS" w:hAnsi="Trebuchet MS" w:cs="Trebuchet MS"/>
          <w:sz w:val="20"/>
          <w:szCs w:val="20"/>
          <w:lang w:val="it" w:eastAsia="it-IT"/>
        </w:rPr>
      </w:pPr>
    </w:p>
    <w:p w14:paraId="5B36C635"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1.8) Informazioni relative all’accordo sugli appalti pubblici (AAP)</w:t>
      </w:r>
    </w:p>
    <w:p w14:paraId="5F5ED8C9" w14:textId="77777777" w:rsidR="0094677B" w:rsidRPr="0094677B" w:rsidRDefault="0094677B" w:rsidP="0094677B">
      <w:pPr>
        <w:tabs>
          <w:tab w:val="right" w:pos="9630"/>
        </w:tabs>
        <w:spacing w:before="60" w:after="0" w:line="240" w:lineRule="auto"/>
        <w:ind w:left="426"/>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L’appalto è disciplinato dall’accordo sugli appalti pubblici: si</w:t>
      </w:r>
    </w:p>
    <w:p w14:paraId="54AF88AF"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p>
    <w:p w14:paraId="6D1B9077"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2) Informazioni di carattere amministrativo</w:t>
      </w:r>
    </w:p>
    <w:p w14:paraId="55821ED7"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7BE5F073"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 xml:space="preserve">VI. 2.1) Pubblicazione precedente relativa alla stessa procedura: </w:t>
      </w:r>
    </w:p>
    <w:p w14:paraId="1DBE76D8" w14:textId="30EE4D35" w:rsidR="00AD08CB" w:rsidRDefault="009A416E" w:rsidP="0094677B">
      <w:pPr>
        <w:tabs>
          <w:tab w:val="right" w:pos="9630"/>
        </w:tabs>
        <w:spacing w:before="60" w:after="0" w:line="240" w:lineRule="auto"/>
        <w:ind w:left="426" w:hanging="426"/>
        <w:jc w:val="both"/>
        <w:rPr>
          <w:rFonts w:ascii="Trebuchet MS" w:eastAsia="Trebuchet MS" w:hAnsi="Trebuchet MS" w:cs="Trebuchet MS"/>
          <w:sz w:val="20"/>
          <w:szCs w:val="20"/>
          <w:lang w:val="it" w:eastAsia="it-IT"/>
        </w:rPr>
      </w:pPr>
      <w:r>
        <w:rPr>
          <w:rFonts w:ascii="Trebuchet MS" w:eastAsia="Trebuchet MS" w:hAnsi="Trebuchet MS" w:cs="Trebuchet MS"/>
          <w:sz w:val="20"/>
          <w:szCs w:val="20"/>
          <w:lang w:val="it" w:eastAsia="it-IT"/>
        </w:rPr>
        <w:tab/>
        <w:t>Numero dell’avviso nella GUE</w:t>
      </w:r>
      <w:r w:rsidR="0094677B" w:rsidRPr="0094677B">
        <w:rPr>
          <w:rFonts w:ascii="Trebuchet MS" w:eastAsia="Trebuchet MS" w:hAnsi="Trebuchet MS" w:cs="Trebuchet MS"/>
          <w:sz w:val="20"/>
          <w:szCs w:val="20"/>
          <w:lang w:val="it" w:eastAsia="it-IT"/>
        </w:rPr>
        <w:t xml:space="preserve">: </w:t>
      </w:r>
      <w:r w:rsidR="00AD08CB">
        <w:rPr>
          <w:rFonts w:ascii="Trebuchet MS" w:eastAsia="Trebuchet MS" w:hAnsi="Trebuchet MS" w:cs="Trebuchet MS"/>
          <w:sz w:val="20"/>
          <w:szCs w:val="20"/>
          <w:lang w:val="it" w:eastAsia="it-IT"/>
        </w:rPr>
        <w:t>2018/S 162-370443</w:t>
      </w:r>
    </w:p>
    <w:p w14:paraId="097E86F8"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bookmarkStart w:id="0" w:name="_GoBack"/>
      <w:bookmarkEnd w:id="0"/>
    </w:p>
    <w:p w14:paraId="560C8ECA" w14:textId="77777777" w:rsidR="0094677B" w:rsidRPr="00FA14CA"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FA14CA">
        <w:rPr>
          <w:rFonts w:ascii="Trebuchet MS" w:eastAsia="Trebuchet MS" w:hAnsi="Trebuchet MS" w:cs="Trebuchet MS"/>
          <w:b/>
          <w:sz w:val="20"/>
          <w:szCs w:val="20"/>
          <w:lang w:val="it" w:eastAsia="it-IT"/>
        </w:rPr>
        <w:t>VI. 2.2) Termine per il ricevimento delle offerte o delle domande di partecipazione</w:t>
      </w:r>
    </w:p>
    <w:p w14:paraId="3ACECC27" w14:textId="00871F25" w:rsidR="0094677B" w:rsidRPr="00FA14CA" w:rsidRDefault="0094677B" w:rsidP="0094677B">
      <w:pPr>
        <w:tabs>
          <w:tab w:val="right" w:pos="9630"/>
        </w:tabs>
        <w:spacing w:before="60" w:after="0" w:line="240" w:lineRule="auto"/>
        <w:ind w:left="426"/>
        <w:jc w:val="both"/>
        <w:rPr>
          <w:rFonts w:ascii="Trebuchet MS" w:eastAsia="Trebuchet MS" w:hAnsi="Trebuchet MS" w:cs="Trebuchet MS"/>
          <w:sz w:val="20"/>
          <w:szCs w:val="20"/>
          <w:lang w:val="it" w:eastAsia="it-IT"/>
        </w:rPr>
      </w:pPr>
      <w:r w:rsidRPr="00FA14CA">
        <w:rPr>
          <w:rFonts w:ascii="Trebuchet MS" w:eastAsia="Trebuchet MS" w:hAnsi="Trebuchet MS" w:cs="Trebuchet MS"/>
          <w:sz w:val="20"/>
          <w:szCs w:val="20"/>
          <w:lang w:val="it" w:eastAsia="it-IT"/>
        </w:rPr>
        <w:t xml:space="preserve">Data: </w:t>
      </w:r>
      <w:r w:rsidR="00FA14CA">
        <w:rPr>
          <w:rFonts w:ascii="Trebuchet MS" w:eastAsia="Trebuchet MS" w:hAnsi="Trebuchet MS" w:cs="Trebuchet MS"/>
          <w:sz w:val="20"/>
          <w:szCs w:val="20"/>
          <w:lang w:val="it" w:eastAsia="it-IT"/>
        </w:rPr>
        <w:t xml:space="preserve">Lunedì </w:t>
      </w:r>
      <w:r w:rsidR="00FA14CA" w:rsidRPr="00FA14CA">
        <w:rPr>
          <w:rFonts w:ascii="Trebuchet MS" w:eastAsia="Trebuchet MS" w:hAnsi="Trebuchet MS" w:cs="Trebuchet MS"/>
          <w:sz w:val="20"/>
          <w:szCs w:val="20"/>
          <w:lang w:val="it" w:eastAsia="it-IT"/>
        </w:rPr>
        <w:t>20.04.2020</w:t>
      </w:r>
    </w:p>
    <w:p w14:paraId="2A7AB5CF" w14:textId="68D616CC" w:rsidR="0094677B" w:rsidRPr="0094677B" w:rsidRDefault="0094677B" w:rsidP="0094677B">
      <w:pPr>
        <w:tabs>
          <w:tab w:val="right" w:pos="9630"/>
        </w:tabs>
        <w:spacing w:before="60" w:after="0" w:line="240" w:lineRule="auto"/>
        <w:ind w:left="426"/>
        <w:jc w:val="both"/>
        <w:rPr>
          <w:rFonts w:ascii="Trebuchet MS" w:eastAsia="Trebuchet MS" w:hAnsi="Trebuchet MS" w:cs="Trebuchet MS"/>
          <w:sz w:val="20"/>
          <w:szCs w:val="20"/>
          <w:lang w:val="it" w:eastAsia="it-IT"/>
        </w:rPr>
      </w:pPr>
      <w:r w:rsidRPr="00FA14CA">
        <w:rPr>
          <w:rFonts w:ascii="Trebuchet MS" w:eastAsia="Trebuchet MS" w:hAnsi="Trebuchet MS" w:cs="Trebuchet MS"/>
          <w:sz w:val="20"/>
          <w:szCs w:val="20"/>
          <w:lang w:val="it" w:eastAsia="it-IT"/>
        </w:rPr>
        <w:t xml:space="preserve">Ora locale: </w:t>
      </w:r>
      <w:r w:rsidR="00FA14CA" w:rsidRPr="00FA14CA">
        <w:rPr>
          <w:rFonts w:ascii="Trebuchet MS" w:eastAsia="Trebuchet MS" w:hAnsi="Trebuchet MS" w:cs="Trebuchet MS"/>
          <w:sz w:val="20"/>
          <w:szCs w:val="20"/>
          <w:lang w:val="it" w:eastAsia="it-IT"/>
        </w:rPr>
        <w:t>h. 12:00</w:t>
      </w:r>
    </w:p>
    <w:p w14:paraId="55E1A025" w14:textId="77777777" w:rsidR="0094677B" w:rsidRPr="0094677B" w:rsidRDefault="0094677B" w:rsidP="0094677B">
      <w:pPr>
        <w:tabs>
          <w:tab w:val="right" w:pos="9630"/>
        </w:tabs>
        <w:spacing w:before="60" w:after="0" w:line="240" w:lineRule="auto"/>
        <w:ind w:left="426"/>
        <w:jc w:val="both"/>
        <w:rPr>
          <w:rFonts w:ascii="Trebuchet MS" w:eastAsia="Trebuchet MS" w:hAnsi="Trebuchet MS" w:cs="Trebuchet MS"/>
          <w:sz w:val="20"/>
          <w:szCs w:val="20"/>
          <w:lang w:val="it" w:eastAsia="it-IT"/>
        </w:rPr>
      </w:pPr>
    </w:p>
    <w:p w14:paraId="4BC99038"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2.3) Data stimata di spedizione ai canditati prescelti degli inviti a presentare offerte o a partecipare</w:t>
      </w:r>
    </w:p>
    <w:p w14:paraId="0EAE99F3"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5B54BE71"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2.4) Lingue utilizzabili per la presentazione delle offerte o delle domande di partecipazione</w:t>
      </w:r>
    </w:p>
    <w:p w14:paraId="5D1AD39C" w14:textId="77777777" w:rsidR="0094677B" w:rsidRPr="0094677B" w:rsidRDefault="0094677B" w:rsidP="0094677B">
      <w:pPr>
        <w:tabs>
          <w:tab w:val="right" w:pos="9630"/>
        </w:tabs>
        <w:spacing w:before="60" w:after="0" w:line="240" w:lineRule="auto"/>
        <w:ind w:left="426"/>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Italiano</w:t>
      </w:r>
    </w:p>
    <w:p w14:paraId="6934EA5A"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2E0F6101"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2.6) Periodo minimo durante il quale l’offerente è vincolato alla propria offerta</w:t>
      </w:r>
    </w:p>
    <w:p w14:paraId="1F0922D4" w14:textId="77777777" w:rsidR="0094677B" w:rsidRPr="0094677B" w:rsidRDefault="0094677B" w:rsidP="0094677B">
      <w:pPr>
        <w:tabs>
          <w:tab w:val="right" w:pos="9630"/>
        </w:tabs>
        <w:spacing w:before="60" w:after="0" w:line="240" w:lineRule="auto"/>
        <w:ind w:left="426" w:hanging="426"/>
        <w:jc w:val="both"/>
        <w:rPr>
          <w:rFonts w:ascii="Trebuchet MS" w:eastAsia="Trebuchet MS" w:hAnsi="Trebuchet MS" w:cs="Trebuchet MS"/>
          <w:sz w:val="20"/>
          <w:szCs w:val="20"/>
          <w:lang w:val="it" w:eastAsia="it-IT"/>
        </w:rPr>
      </w:pPr>
    </w:p>
    <w:p w14:paraId="3C89F316" w14:textId="77777777" w:rsidR="0094677B" w:rsidRPr="0094677B" w:rsidRDefault="0094677B" w:rsidP="0094677B">
      <w:pPr>
        <w:tabs>
          <w:tab w:val="right" w:pos="9630"/>
        </w:tabs>
        <w:spacing w:before="60" w:after="0" w:line="240" w:lineRule="auto"/>
        <w:ind w:left="426" w:hanging="426"/>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180 giorni</w:t>
      </w:r>
    </w:p>
    <w:p w14:paraId="133F6531"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p>
    <w:p w14:paraId="0219C63F"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lastRenderedPageBreak/>
        <w:t>VI. 2.7) Modalità di apertura delle offerte</w:t>
      </w:r>
    </w:p>
    <w:p w14:paraId="31D71044"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2297CF15"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Definita nel disciplinare di gara</w:t>
      </w:r>
    </w:p>
    <w:p w14:paraId="34F022F5"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7B79F208"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u w:val="single"/>
          <w:lang w:val="it" w:eastAsia="it-IT"/>
        </w:rPr>
      </w:pPr>
      <w:r w:rsidRPr="0094677B">
        <w:rPr>
          <w:rFonts w:ascii="Trebuchet MS" w:eastAsia="Trebuchet MS" w:hAnsi="Trebuchet MS" w:cs="Trebuchet MS"/>
          <w:b/>
          <w:sz w:val="20"/>
          <w:szCs w:val="20"/>
          <w:u w:val="single"/>
          <w:lang w:val="it" w:eastAsia="it-IT"/>
        </w:rPr>
        <w:t>Sezione VI: Altre informazioni</w:t>
      </w:r>
    </w:p>
    <w:p w14:paraId="104725BB"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u w:val="single"/>
          <w:lang w:val="it" w:eastAsia="it-IT"/>
        </w:rPr>
      </w:pPr>
    </w:p>
    <w:p w14:paraId="147F1E20"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1) Informazioni relative alla rinnovabilità</w:t>
      </w:r>
    </w:p>
    <w:p w14:paraId="6BB36506" w14:textId="77777777" w:rsidR="0094677B" w:rsidRPr="0094677B" w:rsidRDefault="0094677B" w:rsidP="0094677B">
      <w:pPr>
        <w:tabs>
          <w:tab w:val="right" w:pos="9630"/>
        </w:tabs>
        <w:spacing w:before="60" w:after="0" w:line="240" w:lineRule="auto"/>
        <w:ind w:left="426"/>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Si tratta di un appalto rinnovabile: no</w:t>
      </w:r>
    </w:p>
    <w:p w14:paraId="5C37883F"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p>
    <w:p w14:paraId="5972B679"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2) Informazioni relative ai flussi di lavoro elettronici</w:t>
      </w:r>
    </w:p>
    <w:p w14:paraId="20CF14C7" w14:textId="77777777" w:rsidR="0094677B" w:rsidRPr="0094677B" w:rsidRDefault="0094677B" w:rsidP="0094677B">
      <w:pPr>
        <w:tabs>
          <w:tab w:val="right" w:pos="9630"/>
        </w:tabs>
        <w:spacing w:before="60" w:after="0" w:line="240" w:lineRule="auto"/>
        <w:ind w:left="426"/>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Si rimanda ai documenti di gara</w:t>
      </w:r>
    </w:p>
    <w:p w14:paraId="435CE172"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5D41B35F"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3) Informazioni complementari</w:t>
      </w:r>
    </w:p>
    <w:p w14:paraId="3C8B1F00" w14:textId="77777777" w:rsidR="0094677B" w:rsidRPr="0094677B" w:rsidRDefault="0094677B" w:rsidP="0094677B">
      <w:pPr>
        <w:tabs>
          <w:tab w:val="right" w:pos="9630"/>
        </w:tabs>
        <w:spacing w:before="60" w:after="0" w:line="240" w:lineRule="auto"/>
        <w:ind w:left="426" w:hanging="426"/>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ab/>
        <w:t xml:space="preserve">Per </w:t>
      </w:r>
      <w:proofErr w:type="spellStart"/>
      <w:r w:rsidRPr="0094677B">
        <w:rPr>
          <w:rFonts w:ascii="Trebuchet MS" w:eastAsia="Trebuchet MS" w:hAnsi="Trebuchet MS" w:cs="Trebuchet MS"/>
          <w:sz w:val="20"/>
          <w:szCs w:val="20"/>
          <w:lang w:val="it" w:eastAsia="it-IT"/>
        </w:rPr>
        <w:t>faq</w:t>
      </w:r>
      <w:proofErr w:type="spellEnd"/>
      <w:r w:rsidRPr="0094677B">
        <w:rPr>
          <w:rFonts w:ascii="Trebuchet MS" w:eastAsia="Trebuchet MS" w:hAnsi="Trebuchet MS" w:cs="Trebuchet MS"/>
          <w:sz w:val="20"/>
          <w:szCs w:val="20"/>
          <w:lang w:val="it" w:eastAsia="it-IT"/>
        </w:rPr>
        <w:t xml:space="preserve"> e ulteriori informazioni si rimanda ai documenti di gara pubblicati nei siti istituzionali sopra richiamati.</w:t>
      </w:r>
    </w:p>
    <w:p w14:paraId="40311486"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35ED2422"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4) Procedure di ricorso</w:t>
      </w:r>
    </w:p>
    <w:p w14:paraId="659002D1"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60C8FD4A"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4.1) Organismo responsabile delle procedure di ricorso</w:t>
      </w:r>
    </w:p>
    <w:p w14:paraId="19A9F945"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Tribunale Amministrativo Regionale della Sardegna </w:t>
      </w:r>
    </w:p>
    <w:p w14:paraId="28CC896F"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Via Sassari, 17</w:t>
      </w:r>
    </w:p>
    <w:p w14:paraId="49C13819"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Cagliari</w:t>
      </w:r>
    </w:p>
    <w:p w14:paraId="1491E995"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09124</w:t>
      </w:r>
    </w:p>
    <w:p w14:paraId="3CBAAC15"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Italia</w:t>
      </w:r>
    </w:p>
    <w:p w14:paraId="606868E2"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Tel.: +39 070 67975208</w:t>
      </w:r>
    </w:p>
    <w:p w14:paraId="208C9C57"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Fax: +39 070 662824</w:t>
      </w:r>
    </w:p>
    <w:p w14:paraId="4D568135"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 xml:space="preserve">Indirizzo Internet: </w:t>
      </w:r>
      <w:hyperlink r:id="rId19" w:history="1">
        <w:r w:rsidRPr="0094677B">
          <w:rPr>
            <w:rFonts w:ascii="Trebuchet MS" w:eastAsia="Trebuchet MS" w:hAnsi="Trebuchet MS" w:cs="Trebuchet MS"/>
            <w:color w:val="0000FF" w:themeColor="hyperlink"/>
            <w:sz w:val="20"/>
            <w:szCs w:val="20"/>
            <w:u w:val="single"/>
            <w:lang w:val="it" w:eastAsia="it-IT"/>
          </w:rPr>
          <w:t>http://www.giustizia-amministrativa.it</w:t>
        </w:r>
      </w:hyperlink>
    </w:p>
    <w:p w14:paraId="0AA7B2A9"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sz w:val="20"/>
          <w:szCs w:val="20"/>
          <w:lang w:val="it" w:eastAsia="it-IT"/>
        </w:rPr>
      </w:pPr>
    </w:p>
    <w:p w14:paraId="5E7DC027"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4.2) Organismo responsabile delle procedure di mediazione</w:t>
      </w:r>
    </w:p>
    <w:p w14:paraId="1941924E"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039670AA"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4.3) Procedure di ricorso</w:t>
      </w:r>
    </w:p>
    <w:p w14:paraId="3D6CD152" w14:textId="77777777" w:rsidR="0094677B" w:rsidRPr="0094677B" w:rsidRDefault="0094677B" w:rsidP="0094677B">
      <w:pPr>
        <w:tabs>
          <w:tab w:val="right" w:pos="9630"/>
        </w:tabs>
        <w:spacing w:before="60" w:after="0" w:line="240" w:lineRule="auto"/>
        <w:ind w:left="284" w:hanging="284"/>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ab/>
        <w:t>Informazioni dettagliate sui termini di presentazione dei ricorsi:</w:t>
      </w:r>
    </w:p>
    <w:p w14:paraId="12A70D09" w14:textId="77777777" w:rsidR="0094677B" w:rsidRPr="0094677B" w:rsidRDefault="0094677B" w:rsidP="0094677B">
      <w:pPr>
        <w:tabs>
          <w:tab w:val="right" w:pos="9630"/>
        </w:tabs>
        <w:spacing w:before="60" w:after="0" w:line="240" w:lineRule="auto"/>
        <w:ind w:left="284" w:hanging="284"/>
        <w:jc w:val="both"/>
        <w:rPr>
          <w:rFonts w:ascii="Trebuchet MS" w:eastAsia="Trebuchet MS" w:hAnsi="Trebuchet MS" w:cs="Trebuchet MS"/>
          <w:sz w:val="20"/>
          <w:szCs w:val="20"/>
          <w:lang w:val="it" w:eastAsia="it-IT"/>
        </w:rPr>
      </w:pPr>
      <w:r w:rsidRPr="0094677B">
        <w:rPr>
          <w:rFonts w:ascii="Trebuchet MS" w:eastAsia="Trebuchet MS" w:hAnsi="Trebuchet MS" w:cs="Trebuchet MS"/>
          <w:sz w:val="20"/>
          <w:szCs w:val="20"/>
          <w:lang w:val="it" w:eastAsia="it-IT"/>
        </w:rPr>
        <w:tab/>
        <w:t>Entro 30 giorni dalla pubblicazione sulla Gazzetta Ufficiale della Repubblica Italiana (GURI)</w:t>
      </w:r>
    </w:p>
    <w:p w14:paraId="2DABC85F"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94677B">
        <w:rPr>
          <w:rFonts w:ascii="Trebuchet MS" w:eastAsia="Trebuchet MS" w:hAnsi="Trebuchet MS" w:cs="Trebuchet MS"/>
          <w:b/>
          <w:sz w:val="20"/>
          <w:szCs w:val="20"/>
          <w:lang w:val="it" w:eastAsia="it-IT"/>
        </w:rPr>
        <w:t>VI. 4.4) Servizio presso il quale sono disponibili informazioni sulle procedure di ricorso</w:t>
      </w:r>
    </w:p>
    <w:p w14:paraId="32329D89" w14:textId="77777777" w:rsidR="0094677B" w:rsidRPr="0094677B"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p>
    <w:p w14:paraId="5AD24D03" w14:textId="77777777" w:rsidR="0094677B" w:rsidRPr="00F36630" w:rsidRDefault="0094677B" w:rsidP="0094677B">
      <w:pPr>
        <w:tabs>
          <w:tab w:val="right" w:pos="9630"/>
        </w:tabs>
        <w:spacing w:before="60" w:after="0" w:line="240" w:lineRule="auto"/>
        <w:jc w:val="both"/>
        <w:rPr>
          <w:rFonts w:ascii="Trebuchet MS" w:eastAsia="Trebuchet MS" w:hAnsi="Trebuchet MS" w:cs="Trebuchet MS"/>
          <w:b/>
          <w:sz w:val="20"/>
          <w:szCs w:val="20"/>
          <w:lang w:val="it" w:eastAsia="it-IT"/>
        </w:rPr>
      </w:pPr>
      <w:r w:rsidRPr="00F36630">
        <w:rPr>
          <w:rFonts w:ascii="Trebuchet MS" w:eastAsia="Trebuchet MS" w:hAnsi="Trebuchet MS" w:cs="Trebuchet MS"/>
          <w:b/>
          <w:sz w:val="20"/>
          <w:szCs w:val="20"/>
          <w:lang w:val="it" w:eastAsia="it-IT"/>
        </w:rPr>
        <w:t>VI. 5 Data di spedizione del presente Avviso:</w:t>
      </w:r>
    </w:p>
    <w:p w14:paraId="25451DE4" w14:textId="4C8DDE52" w:rsidR="009A3FCF" w:rsidRPr="006355E1" w:rsidRDefault="00F36630" w:rsidP="0094677B">
      <w:pPr>
        <w:spacing w:after="0"/>
        <w:jc w:val="both"/>
        <w:rPr>
          <w:rFonts w:ascii="Trebuchet MS" w:hAnsi="Trebuchet MS" w:cstheme="minorHAnsi"/>
        </w:rPr>
      </w:pPr>
      <w:r w:rsidRPr="00F36630">
        <w:rPr>
          <w:rFonts w:ascii="Trebuchet MS" w:eastAsia="Trebuchet MS" w:hAnsi="Trebuchet MS" w:cs="Trebuchet MS"/>
          <w:sz w:val="20"/>
          <w:szCs w:val="20"/>
          <w:lang w:val="it" w:eastAsia="it-IT"/>
        </w:rPr>
        <w:t>28.02.2020</w:t>
      </w:r>
      <w:r w:rsidR="0094677B" w:rsidRPr="0094677B">
        <w:rPr>
          <w:rFonts w:ascii="Trebuchet MS" w:eastAsia="Trebuchet MS" w:hAnsi="Trebuchet MS" w:cs="Trebuchet MS"/>
          <w:sz w:val="20"/>
          <w:szCs w:val="20"/>
          <w:lang w:val="it" w:eastAsia="it-IT"/>
        </w:rPr>
        <w:tab/>
      </w:r>
    </w:p>
    <w:sectPr w:rsidR="009A3FCF" w:rsidRPr="006355E1">
      <w:headerReference w:type="default"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02DB2" w14:textId="77777777" w:rsidR="000953E7" w:rsidRDefault="000953E7" w:rsidP="00E45033">
      <w:pPr>
        <w:spacing w:after="0" w:line="240" w:lineRule="auto"/>
      </w:pPr>
      <w:r>
        <w:separator/>
      </w:r>
    </w:p>
  </w:endnote>
  <w:endnote w:type="continuationSeparator" w:id="0">
    <w:p w14:paraId="5A5E01FE" w14:textId="77777777" w:rsidR="000953E7" w:rsidRDefault="000953E7" w:rsidP="00E4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C7F6" w14:textId="77777777" w:rsidR="00B227B8" w:rsidRDefault="00B227B8">
    <w:pPr>
      <w:pStyle w:val="Pidipagina"/>
      <w:jc w:val="right"/>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1992"/>
      <w:gridCol w:w="2688"/>
      <w:gridCol w:w="1992"/>
      <w:gridCol w:w="1039"/>
    </w:tblGrid>
    <w:tr w:rsidR="00FF6D37" w14:paraId="0EC7E69C" w14:textId="77777777" w:rsidTr="00685022">
      <w:trPr>
        <w:trHeight w:val="857"/>
      </w:trPr>
      <w:tc>
        <w:tcPr>
          <w:tcW w:w="1087" w:type="pct"/>
        </w:tcPr>
        <w:p w14:paraId="63FBF82A" w14:textId="77777777" w:rsidR="00FF6D37" w:rsidRDefault="00FF6D37" w:rsidP="00685022">
          <w:pPr>
            <w:jc w:val="center"/>
            <w:rPr>
              <w:b/>
              <w:noProof/>
            </w:rPr>
          </w:pPr>
          <w:r>
            <w:rPr>
              <w:b/>
              <w:noProof/>
              <w:lang w:eastAsia="it-IT"/>
            </w:rPr>
            <w:drawing>
              <wp:inline distT="114300" distB="114300" distL="114300" distR="114300" wp14:anchorId="0A0B5701" wp14:editId="70158266">
                <wp:extent cx="956733" cy="558800"/>
                <wp:effectExtent l="0" t="0" r="889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
                        <a:srcRect r="76260"/>
                        <a:stretch/>
                      </pic:blipFill>
                      <pic:spPr bwMode="auto">
                        <a:xfrm>
                          <a:off x="0" y="0"/>
                          <a:ext cx="957613" cy="559314"/>
                        </a:xfrm>
                        <a:prstGeom prst="rect">
                          <a:avLst/>
                        </a:prstGeom>
                        <a:ln>
                          <a:noFill/>
                        </a:ln>
                        <a:extLst>
                          <a:ext uri="{53640926-AAD7-44D8-BBD7-CCE9431645EC}">
                            <a14:shadowObscured xmlns:a14="http://schemas.microsoft.com/office/drawing/2010/main"/>
                          </a:ext>
                        </a:extLst>
                      </pic:spPr>
                    </pic:pic>
                  </a:graphicData>
                </a:graphic>
              </wp:inline>
            </w:drawing>
          </w:r>
        </w:p>
      </w:tc>
      <w:tc>
        <w:tcPr>
          <w:tcW w:w="1011" w:type="pct"/>
        </w:tcPr>
        <w:p w14:paraId="546C4E41" w14:textId="77777777" w:rsidR="00FF6D37" w:rsidRDefault="00FF6D37" w:rsidP="00685022">
          <w:pPr>
            <w:jc w:val="center"/>
            <w:rPr>
              <w:b/>
              <w:noProof/>
            </w:rPr>
          </w:pPr>
          <w:r>
            <w:rPr>
              <w:b/>
              <w:noProof/>
              <w:lang w:eastAsia="it-IT"/>
            </w:rPr>
            <w:drawing>
              <wp:inline distT="114300" distB="114300" distL="114300" distR="114300" wp14:anchorId="04387660" wp14:editId="0521E2F9">
                <wp:extent cx="872067" cy="558682"/>
                <wp:effectExtent l="0" t="0" r="0" b="635"/>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
                        <a:srcRect l="25630" r="52727"/>
                        <a:stretch/>
                      </pic:blipFill>
                      <pic:spPr bwMode="auto">
                        <a:xfrm>
                          <a:off x="0" y="0"/>
                          <a:ext cx="873053" cy="559314"/>
                        </a:xfrm>
                        <a:prstGeom prst="rect">
                          <a:avLst/>
                        </a:prstGeom>
                        <a:ln>
                          <a:noFill/>
                        </a:ln>
                        <a:extLst>
                          <a:ext uri="{53640926-AAD7-44D8-BBD7-CCE9431645EC}">
                            <a14:shadowObscured xmlns:a14="http://schemas.microsoft.com/office/drawing/2010/main"/>
                          </a:ext>
                        </a:extLst>
                      </pic:spPr>
                    </pic:pic>
                  </a:graphicData>
                </a:graphic>
              </wp:inline>
            </w:drawing>
          </w:r>
        </w:p>
      </w:tc>
      <w:tc>
        <w:tcPr>
          <w:tcW w:w="1364" w:type="pct"/>
        </w:tcPr>
        <w:p w14:paraId="5A02FC23" w14:textId="77777777" w:rsidR="00FF6D37" w:rsidRDefault="00FF6D37" w:rsidP="00685022">
          <w:pPr>
            <w:jc w:val="center"/>
            <w:rPr>
              <w:b/>
              <w:noProof/>
            </w:rPr>
          </w:pPr>
          <w:r>
            <w:rPr>
              <w:b/>
              <w:noProof/>
              <w:lang w:eastAsia="it-IT"/>
            </w:rPr>
            <w:drawing>
              <wp:inline distT="114300" distB="114300" distL="114300" distR="114300" wp14:anchorId="000D1060" wp14:editId="1039E2E8">
                <wp:extent cx="1303866" cy="558693"/>
                <wp:effectExtent l="0" t="0" r="0" b="635"/>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
                        <a:srcRect l="45378" r="22263"/>
                        <a:stretch/>
                      </pic:blipFill>
                      <pic:spPr bwMode="auto">
                        <a:xfrm>
                          <a:off x="0" y="0"/>
                          <a:ext cx="1305315" cy="559314"/>
                        </a:xfrm>
                        <a:prstGeom prst="rect">
                          <a:avLst/>
                        </a:prstGeom>
                        <a:ln>
                          <a:noFill/>
                        </a:ln>
                        <a:extLst>
                          <a:ext uri="{53640926-AAD7-44D8-BBD7-CCE9431645EC}">
                            <a14:shadowObscured xmlns:a14="http://schemas.microsoft.com/office/drawing/2010/main"/>
                          </a:ext>
                        </a:extLst>
                      </pic:spPr>
                    </pic:pic>
                  </a:graphicData>
                </a:graphic>
              </wp:inline>
            </w:drawing>
          </w:r>
        </w:p>
      </w:tc>
      <w:tc>
        <w:tcPr>
          <w:tcW w:w="1011" w:type="pct"/>
        </w:tcPr>
        <w:p w14:paraId="3F8FB377" w14:textId="77777777" w:rsidR="00FF6D37" w:rsidRDefault="00FF6D37" w:rsidP="00685022">
          <w:pPr>
            <w:jc w:val="center"/>
            <w:rPr>
              <w:b/>
              <w:noProof/>
            </w:rPr>
          </w:pPr>
          <w:r>
            <w:rPr>
              <w:b/>
              <w:noProof/>
              <w:lang w:eastAsia="it-IT"/>
            </w:rPr>
            <w:drawing>
              <wp:inline distT="114300" distB="114300" distL="114300" distR="114300" wp14:anchorId="17C2A252" wp14:editId="20D9E23A">
                <wp:extent cx="872064" cy="558800"/>
                <wp:effectExtent l="0" t="0" r="0" b="0"/>
                <wp:docPr id="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
                        <a:srcRect l="78362"/>
                        <a:stretch/>
                      </pic:blipFill>
                      <pic:spPr bwMode="auto">
                        <a:xfrm>
                          <a:off x="0" y="0"/>
                          <a:ext cx="872866" cy="559314"/>
                        </a:xfrm>
                        <a:prstGeom prst="rect">
                          <a:avLst/>
                        </a:prstGeom>
                        <a:ln>
                          <a:noFill/>
                        </a:ln>
                        <a:extLst>
                          <a:ext uri="{53640926-AAD7-44D8-BBD7-CCE9431645EC}">
                            <a14:shadowObscured xmlns:a14="http://schemas.microsoft.com/office/drawing/2010/main"/>
                          </a:ext>
                        </a:extLst>
                      </pic:spPr>
                    </pic:pic>
                  </a:graphicData>
                </a:graphic>
              </wp:inline>
            </w:drawing>
          </w:r>
        </w:p>
      </w:tc>
      <w:tc>
        <w:tcPr>
          <w:tcW w:w="527" w:type="pct"/>
          <w:vAlign w:val="bottom"/>
        </w:tcPr>
        <w:p w14:paraId="06E4B387" w14:textId="77777777" w:rsidR="00FF6D37" w:rsidRPr="00AA2E2D" w:rsidRDefault="00FF6D37" w:rsidP="00685022">
          <w:pPr>
            <w:jc w:val="right"/>
            <w:rPr>
              <w:sz w:val="18"/>
              <w:szCs w:val="18"/>
            </w:rPr>
          </w:pPr>
          <w:r w:rsidRPr="00AA2E2D">
            <w:rPr>
              <w:sz w:val="18"/>
              <w:szCs w:val="18"/>
            </w:rPr>
            <w:fldChar w:fldCharType="begin"/>
          </w:r>
          <w:r w:rsidRPr="00AA2E2D">
            <w:rPr>
              <w:sz w:val="18"/>
              <w:szCs w:val="18"/>
            </w:rPr>
            <w:instrText>PAGE</w:instrText>
          </w:r>
          <w:r w:rsidRPr="00AA2E2D">
            <w:rPr>
              <w:sz w:val="18"/>
              <w:szCs w:val="18"/>
            </w:rPr>
            <w:fldChar w:fldCharType="separate"/>
          </w:r>
          <w:r w:rsidR="00AD08CB">
            <w:rPr>
              <w:noProof/>
              <w:sz w:val="18"/>
              <w:szCs w:val="18"/>
            </w:rPr>
            <w:t>6</w:t>
          </w:r>
          <w:r w:rsidRPr="00AA2E2D">
            <w:rPr>
              <w:sz w:val="18"/>
              <w:szCs w:val="18"/>
            </w:rPr>
            <w:fldChar w:fldCharType="end"/>
          </w:r>
          <w:r w:rsidRPr="00AA2E2D">
            <w:rPr>
              <w:sz w:val="18"/>
              <w:szCs w:val="18"/>
            </w:rPr>
            <w:t>/</w:t>
          </w:r>
          <w:r w:rsidRPr="00AA2E2D">
            <w:rPr>
              <w:sz w:val="18"/>
              <w:szCs w:val="18"/>
            </w:rPr>
            <w:fldChar w:fldCharType="begin"/>
          </w:r>
          <w:r w:rsidRPr="00AA2E2D">
            <w:rPr>
              <w:sz w:val="18"/>
              <w:szCs w:val="18"/>
            </w:rPr>
            <w:instrText>NUMPAGES</w:instrText>
          </w:r>
          <w:r w:rsidRPr="00AA2E2D">
            <w:rPr>
              <w:sz w:val="18"/>
              <w:szCs w:val="18"/>
            </w:rPr>
            <w:fldChar w:fldCharType="separate"/>
          </w:r>
          <w:r w:rsidR="00AD08CB">
            <w:rPr>
              <w:noProof/>
              <w:sz w:val="18"/>
              <w:szCs w:val="18"/>
            </w:rPr>
            <w:t>6</w:t>
          </w:r>
          <w:r w:rsidRPr="00AA2E2D">
            <w:rPr>
              <w:sz w:val="18"/>
              <w:szCs w:val="18"/>
            </w:rPr>
            <w:fldChar w:fldCharType="end"/>
          </w:r>
        </w:p>
      </w:tc>
    </w:tr>
  </w:tbl>
  <w:p w14:paraId="25E6BABA" w14:textId="77777777" w:rsidR="00E45033" w:rsidRDefault="00E45033" w:rsidP="00FF6D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DEDD0" w14:textId="77777777" w:rsidR="000953E7" w:rsidRDefault="000953E7" w:rsidP="00E45033">
      <w:pPr>
        <w:spacing w:after="0" w:line="240" w:lineRule="auto"/>
      </w:pPr>
      <w:r>
        <w:separator/>
      </w:r>
    </w:p>
  </w:footnote>
  <w:footnote w:type="continuationSeparator" w:id="0">
    <w:p w14:paraId="7C15DA9A" w14:textId="77777777" w:rsidR="000953E7" w:rsidRDefault="000953E7" w:rsidP="00E45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auto"/>
      </w:tblBorders>
      <w:tblLook w:val="04A0" w:firstRow="1" w:lastRow="0" w:firstColumn="1" w:lastColumn="0" w:noHBand="0" w:noVBand="1"/>
    </w:tblPr>
    <w:tblGrid>
      <w:gridCol w:w="1878"/>
      <w:gridCol w:w="5652"/>
      <w:gridCol w:w="2324"/>
    </w:tblGrid>
    <w:tr w:rsidR="00957232" w:rsidRPr="00F37630" w14:paraId="74BCC7F9" w14:textId="77777777" w:rsidTr="00E27597">
      <w:trPr>
        <w:trHeight w:val="1575"/>
      </w:trPr>
      <w:tc>
        <w:tcPr>
          <w:tcW w:w="953" w:type="pct"/>
          <w:vAlign w:val="center"/>
        </w:tcPr>
        <w:p w14:paraId="6EC6AAB2" w14:textId="4D8BCC50" w:rsidR="00957232" w:rsidRPr="00F37630" w:rsidRDefault="006355E1" w:rsidP="00E27597">
          <w:pPr>
            <w:spacing w:after="0" w:line="240" w:lineRule="auto"/>
            <w:rPr>
              <w:rFonts w:asciiTheme="majorHAnsi" w:eastAsia="Times New Roman" w:hAnsiTheme="majorHAnsi"/>
              <w:b/>
            </w:rPr>
          </w:pPr>
          <w:r>
            <w:rPr>
              <w:noProof/>
              <w:lang w:eastAsia="it-IT"/>
            </w:rPr>
            <w:drawing>
              <wp:inline distT="0" distB="0" distL="0" distR="0" wp14:anchorId="0729F0A8" wp14:editId="6F021D78">
                <wp:extent cx="1038225" cy="657225"/>
                <wp:effectExtent l="0" t="0" r="9525" b="9525"/>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57225"/>
                        </a:xfrm>
                        <a:prstGeom prst="rect">
                          <a:avLst/>
                        </a:prstGeom>
                        <a:noFill/>
                      </pic:spPr>
                    </pic:pic>
                  </a:graphicData>
                </a:graphic>
              </wp:inline>
            </w:drawing>
          </w:r>
        </w:p>
      </w:tc>
      <w:tc>
        <w:tcPr>
          <w:tcW w:w="2868" w:type="pct"/>
          <w:vAlign w:val="center"/>
        </w:tcPr>
        <w:p w14:paraId="7B478571" w14:textId="1E6B3DF5" w:rsidR="006355E1" w:rsidRPr="007141E2" w:rsidRDefault="0094677B" w:rsidP="006355E1">
          <w:pPr>
            <w:spacing w:after="0" w:line="240" w:lineRule="auto"/>
            <w:jc w:val="center"/>
            <w:rPr>
              <w:rFonts w:ascii="Trebuchet MS" w:eastAsia="Times New Roman" w:hAnsi="Trebuchet MS" w:cs="Futura"/>
              <w:b/>
              <w:sz w:val="14"/>
              <w:szCs w:val="14"/>
              <w:u w:val="single"/>
            </w:rPr>
          </w:pPr>
          <w:r>
            <w:rPr>
              <w:rFonts w:ascii="Trebuchet MS" w:eastAsia="Times New Roman" w:hAnsi="Trebuchet MS" w:cs="Futura"/>
              <w:b/>
              <w:sz w:val="14"/>
              <w:szCs w:val="14"/>
              <w:u w:val="single"/>
            </w:rPr>
            <w:t>BANDO DI GARA</w:t>
          </w:r>
        </w:p>
        <w:p w14:paraId="01D743EE" w14:textId="163BFAFD" w:rsidR="006355E1" w:rsidRPr="00806D43" w:rsidRDefault="006355E1" w:rsidP="006355E1">
          <w:pPr>
            <w:tabs>
              <w:tab w:val="left" w:pos="7797"/>
            </w:tabs>
            <w:spacing w:after="0" w:line="240" w:lineRule="auto"/>
            <w:ind w:firstLine="360"/>
            <w:jc w:val="center"/>
            <w:rPr>
              <w:rFonts w:ascii="Trebuchet MS" w:eastAsia="Times New Roman" w:hAnsi="Trebuchet MS" w:cs="Futura"/>
              <w:sz w:val="14"/>
              <w:szCs w:val="14"/>
            </w:rPr>
          </w:pPr>
          <w:r w:rsidRPr="00806D43">
            <w:rPr>
              <w:rFonts w:ascii="Trebuchet MS" w:eastAsia="Times New Roman" w:hAnsi="Trebuchet MS" w:cs="Futura"/>
              <w:sz w:val="14"/>
              <w:szCs w:val="14"/>
            </w:rPr>
            <w:t>Procedura aperta per l’acquisizione di servizi di ricerca e svil</w:t>
          </w:r>
          <w:r w:rsidR="007141E2">
            <w:rPr>
              <w:rFonts w:ascii="Trebuchet MS" w:eastAsia="Times New Roman" w:hAnsi="Trebuchet MS" w:cs="Futura"/>
              <w:sz w:val="14"/>
              <w:szCs w:val="14"/>
            </w:rPr>
            <w:t>uppo ex art. 158, comma 1, del D</w:t>
          </w:r>
          <w:r w:rsidRPr="00806D43">
            <w:rPr>
              <w:rFonts w:ascii="Trebuchet MS" w:eastAsia="Times New Roman" w:hAnsi="Trebuchet MS" w:cs="Futura"/>
              <w:sz w:val="14"/>
              <w:szCs w:val="14"/>
            </w:rPr>
            <w:t>.lgs</w:t>
          </w:r>
          <w:r w:rsidR="007141E2">
            <w:rPr>
              <w:rFonts w:ascii="Trebuchet MS" w:eastAsia="Times New Roman" w:hAnsi="Trebuchet MS" w:cs="Futura"/>
              <w:sz w:val="14"/>
              <w:szCs w:val="14"/>
            </w:rPr>
            <w:t>.</w:t>
          </w:r>
          <w:r w:rsidRPr="00806D43">
            <w:rPr>
              <w:rFonts w:ascii="Trebuchet MS" w:eastAsia="Times New Roman" w:hAnsi="Trebuchet MS" w:cs="Futura"/>
              <w:sz w:val="14"/>
              <w:szCs w:val="14"/>
            </w:rPr>
            <w:t xml:space="preserve"> 50/2016 e </w:t>
          </w:r>
          <w:r w:rsidR="007141E2">
            <w:rPr>
              <w:rFonts w:ascii="Trebuchet MS" w:eastAsia="Times New Roman" w:hAnsi="Trebuchet MS" w:cs="Futura"/>
              <w:sz w:val="14"/>
              <w:szCs w:val="14"/>
            </w:rPr>
            <w:t>s</w:t>
          </w:r>
          <w:r w:rsidRPr="00806D43">
            <w:rPr>
              <w:rFonts w:ascii="Trebuchet MS" w:eastAsia="Times New Roman" w:hAnsi="Trebuchet MS" w:cs="Futura"/>
              <w:sz w:val="14"/>
              <w:szCs w:val="14"/>
            </w:rPr>
            <w:t>s.m</w:t>
          </w:r>
          <w:r w:rsidR="007141E2">
            <w:rPr>
              <w:rFonts w:ascii="Trebuchet MS" w:eastAsia="Times New Roman" w:hAnsi="Trebuchet MS" w:cs="Futura"/>
              <w:sz w:val="14"/>
              <w:szCs w:val="14"/>
            </w:rPr>
            <w:t>m</w:t>
          </w:r>
          <w:r w:rsidRPr="00806D43">
            <w:rPr>
              <w:rFonts w:ascii="Trebuchet MS" w:eastAsia="Times New Roman" w:hAnsi="Trebuchet MS" w:cs="Futura"/>
              <w:sz w:val="14"/>
              <w:szCs w:val="14"/>
            </w:rPr>
            <w:t>.</w:t>
          </w:r>
          <w:r w:rsidR="007141E2">
            <w:rPr>
              <w:rFonts w:ascii="Trebuchet MS" w:eastAsia="Times New Roman" w:hAnsi="Trebuchet MS" w:cs="Futura"/>
              <w:sz w:val="14"/>
              <w:szCs w:val="14"/>
            </w:rPr>
            <w:t xml:space="preserve"> e i</w:t>
          </w:r>
          <w:r w:rsidRPr="00806D43">
            <w:rPr>
              <w:rFonts w:ascii="Trebuchet MS" w:eastAsia="Times New Roman" w:hAnsi="Trebuchet MS" w:cs="Futura"/>
              <w:sz w:val="14"/>
              <w:szCs w:val="14"/>
            </w:rPr>
            <w:t>i.</w:t>
          </w:r>
          <w:r w:rsidR="007141E2">
            <w:rPr>
              <w:rFonts w:ascii="Trebuchet MS" w:eastAsia="Times New Roman" w:hAnsi="Trebuchet MS" w:cs="Futura"/>
              <w:sz w:val="14"/>
              <w:szCs w:val="14"/>
            </w:rPr>
            <w:t xml:space="preserve"> per lo “S</w:t>
          </w:r>
          <w:r w:rsidRPr="00806D43">
            <w:rPr>
              <w:rFonts w:ascii="Trebuchet MS" w:eastAsia="Times New Roman" w:hAnsi="Trebuchet MS" w:cs="Futura"/>
              <w:sz w:val="14"/>
              <w:szCs w:val="14"/>
            </w:rPr>
            <w:t>viluppo di nuove tecnologie al fine di migliorare il sistema di approvvigionamento energetico ed idrico all’interno dell’area naturalistica del Parco di Porto Conte”</w:t>
          </w:r>
        </w:p>
        <w:p w14:paraId="3A55A8F3" w14:textId="77777777" w:rsidR="006355E1" w:rsidRPr="00806D43" w:rsidRDefault="006355E1" w:rsidP="006355E1">
          <w:pPr>
            <w:tabs>
              <w:tab w:val="left" w:pos="7797"/>
            </w:tabs>
            <w:spacing w:after="0" w:line="240" w:lineRule="auto"/>
            <w:ind w:firstLine="360"/>
            <w:jc w:val="center"/>
            <w:rPr>
              <w:rFonts w:ascii="Trebuchet MS" w:eastAsia="Times New Roman" w:hAnsi="Trebuchet MS" w:cs="Futura"/>
              <w:sz w:val="14"/>
              <w:szCs w:val="14"/>
            </w:rPr>
          </w:pPr>
          <w:r w:rsidRPr="00806D43">
            <w:rPr>
              <w:rFonts w:ascii="Trebuchet MS" w:eastAsia="Times New Roman" w:hAnsi="Trebuchet MS" w:cs="Futura"/>
              <w:sz w:val="14"/>
              <w:szCs w:val="14"/>
            </w:rPr>
            <w:t>Fondi POR FESR Sardegna 2014-2020</w:t>
          </w:r>
        </w:p>
        <w:p w14:paraId="39B27729" w14:textId="77777777" w:rsidR="00957232" w:rsidRDefault="006355E1" w:rsidP="007141E2">
          <w:pPr>
            <w:tabs>
              <w:tab w:val="left" w:pos="7797"/>
            </w:tabs>
            <w:spacing w:after="0" w:line="240" w:lineRule="auto"/>
            <w:ind w:firstLine="360"/>
            <w:jc w:val="center"/>
            <w:rPr>
              <w:rFonts w:ascii="Trebuchet MS" w:eastAsia="Times New Roman" w:hAnsi="Trebuchet MS" w:cs="Futura"/>
              <w:sz w:val="14"/>
              <w:szCs w:val="14"/>
            </w:rPr>
          </w:pPr>
          <w:r w:rsidRPr="00806D43">
            <w:rPr>
              <w:rFonts w:ascii="Trebuchet MS" w:eastAsia="Times New Roman" w:hAnsi="Trebuchet MS" w:cs="Futura"/>
              <w:sz w:val="14"/>
              <w:szCs w:val="14"/>
            </w:rPr>
            <w:t xml:space="preserve">CIG </w:t>
          </w:r>
          <w:r w:rsidR="007141E2" w:rsidRPr="007141E2">
            <w:rPr>
              <w:rFonts w:ascii="Trebuchet MS" w:eastAsia="Times New Roman" w:hAnsi="Trebuchet MS" w:cs="Futura"/>
              <w:sz w:val="14"/>
              <w:szCs w:val="14"/>
            </w:rPr>
            <w:t>81567581A4</w:t>
          </w:r>
        </w:p>
        <w:p w14:paraId="21E319FE" w14:textId="51445098" w:rsidR="007141E2" w:rsidRPr="00F37630" w:rsidRDefault="007141E2" w:rsidP="007141E2">
          <w:pPr>
            <w:tabs>
              <w:tab w:val="left" w:pos="7797"/>
            </w:tabs>
            <w:spacing w:after="0" w:line="240" w:lineRule="auto"/>
            <w:ind w:firstLine="360"/>
            <w:jc w:val="center"/>
            <w:rPr>
              <w:rFonts w:asciiTheme="majorHAnsi" w:eastAsia="Times New Roman" w:hAnsiTheme="majorHAnsi"/>
              <w:sz w:val="16"/>
              <w:szCs w:val="16"/>
            </w:rPr>
          </w:pPr>
          <w:r>
            <w:rPr>
              <w:rFonts w:ascii="Trebuchet MS" w:eastAsia="Times New Roman" w:hAnsi="Trebuchet MS" w:cs="Futura"/>
              <w:sz w:val="14"/>
              <w:szCs w:val="14"/>
            </w:rPr>
            <w:t xml:space="preserve">CUP </w:t>
          </w:r>
          <w:r w:rsidRPr="007141E2">
            <w:rPr>
              <w:rFonts w:ascii="Trebuchet MS" w:eastAsia="Times New Roman" w:hAnsi="Trebuchet MS" w:cs="Futura"/>
              <w:sz w:val="14"/>
              <w:szCs w:val="14"/>
            </w:rPr>
            <w:t>D16G18000190006</w:t>
          </w:r>
        </w:p>
      </w:tc>
      <w:tc>
        <w:tcPr>
          <w:tcW w:w="1180" w:type="pct"/>
          <w:vAlign w:val="center"/>
        </w:tcPr>
        <w:p w14:paraId="2068EF9B" w14:textId="58C8B849" w:rsidR="00957232" w:rsidRPr="00F37630" w:rsidRDefault="007630B2" w:rsidP="00E27597">
          <w:pPr>
            <w:spacing w:after="0" w:line="240" w:lineRule="auto"/>
            <w:ind w:hanging="36"/>
            <w:jc w:val="center"/>
            <w:rPr>
              <w:rFonts w:asciiTheme="majorHAnsi" w:eastAsia="Times New Roman" w:hAnsiTheme="majorHAnsi"/>
            </w:rPr>
          </w:pPr>
          <w:r>
            <w:rPr>
              <w:noProof/>
              <w:lang w:eastAsia="it-IT"/>
            </w:rPr>
            <w:drawing>
              <wp:inline distT="0" distB="0" distL="0" distR="0" wp14:anchorId="2752BDEF" wp14:editId="2C4D4581">
                <wp:extent cx="762728" cy="652131"/>
                <wp:effectExtent l="0" t="0" r="0" b="0"/>
                <wp:docPr id="1" name="Immagine 1" descr="LAVORI ARCHIVIATI:SARDEGNA RICERCHE:2020:SardignaRicerche_Logo_CHIRCA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62728" cy="652131"/>
                        </a:xfrm>
                        <a:prstGeom prst="rect">
                          <a:avLst/>
                        </a:prstGeom>
                        <a:noFill/>
                        <a:ln>
                          <a:noFill/>
                          <a:prstDash/>
                        </a:ln>
                      </pic:spPr>
                    </pic:pic>
                  </a:graphicData>
                </a:graphic>
              </wp:inline>
            </w:drawing>
          </w:r>
        </w:p>
      </w:tc>
    </w:tr>
  </w:tbl>
  <w:p w14:paraId="6AECC56D" w14:textId="77777777" w:rsidR="002A30FD" w:rsidRDefault="002A30FD" w:rsidP="00343931">
    <w:pPr>
      <w:pStyle w:val="Intestazione"/>
      <w:rPr>
        <w:rFonts w:ascii="Trebuchet MS" w:hAnsi="Trebuchet MS"/>
        <w:i/>
      </w:rPr>
    </w:pPr>
  </w:p>
  <w:p w14:paraId="185ED019" w14:textId="77777777" w:rsidR="002A30FD" w:rsidRPr="00ED7761" w:rsidRDefault="002A30FD" w:rsidP="00ED7761">
    <w:pPr>
      <w:pStyle w:val="Intestazione"/>
      <w:jc w:val="center"/>
      <w:rPr>
        <w:rFonts w:ascii="Trebuchet MS" w:hAnsi="Trebuchet M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41E11CC"/>
    <w:multiLevelType w:val="hybridMultilevel"/>
    <w:tmpl w:val="35A6ACC2"/>
    <w:lvl w:ilvl="0" w:tplc="4AA89E74">
      <w:start w:val="2"/>
      <w:numFmt w:val="lowerLetter"/>
      <w:lvlText w:val="%1."/>
      <w:lvlJc w:val="left"/>
      <w:pPr>
        <w:ind w:left="502" w:hanging="360"/>
      </w:pPr>
      <w:rPr>
        <w:rFonts w:hint="default"/>
      </w:rPr>
    </w:lvl>
    <w:lvl w:ilvl="1" w:tplc="04100019" w:tentative="1">
      <w:start w:val="1"/>
      <w:numFmt w:val="lowerLetter"/>
      <w:lvlText w:val="%2."/>
      <w:lvlJc w:val="left"/>
      <w:pPr>
        <w:ind w:left="862" w:hanging="360"/>
      </w:pPr>
    </w:lvl>
    <w:lvl w:ilvl="2" w:tplc="0410001B" w:tentative="1">
      <w:start w:val="1"/>
      <w:numFmt w:val="lowerRoman"/>
      <w:lvlText w:val="%3."/>
      <w:lvlJc w:val="right"/>
      <w:pPr>
        <w:ind w:left="1582" w:hanging="180"/>
      </w:pPr>
    </w:lvl>
    <w:lvl w:ilvl="3" w:tplc="0410000F" w:tentative="1">
      <w:start w:val="1"/>
      <w:numFmt w:val="decimal"/>
      <w:lvlText w:val="%4."/>
      <w:lvlJc w:val="left"/>
      <w:pPr>
        <w:ind w:left="2302" w:hanging="360"/>
      </w:pPr>
    </w:lvl>
    <w:lvl w:ilvl="4" w:tplc="04100019" w:tentative="1">
      <w:start w:val="1"/>
      <w:numFmt w:val="lowerLetter"/>
      <w:lvlText w:val="%5."/>
      <w:lvlJc w:val="left"/>
      <w:pPr>
        <w:ind w:left="3022" w:hanging="360"/>
      </w:pPr>
    </w:lvl>
    <w:lvl w:ilvl="5" w:tplc="0410001B" w:tentative="1">
      <w:start w:val="1"/>
      <w:numFmt w:val="lowerRoman"/>
      <w:lvlText w:val="%6."/>
      <w:lvlJc w:val="right"/>
      <w:pPr>
        <w:ind w:left="3742" w:hanging="180"/>
      </w:pPr>
    </w:lvl>
    <w:lvl w:ilvl="6" w:tplc="0410000F" w:tentative="1">
      <w:start w:val="1"/>
      <w:numFmt w:val="decimal"/>
      <w:lvlText w:val="%7."/>
      <w:lvlJc w:val="left"/>
      <w:pPr>
        <w:ind w:left="4462" w:hanging="360"/>
      </w:pPr>
    </w:lvl>
    <w:lvl w:ilvl="7" w:tplc="04100019" w:tentative="1">
      <w:start w:val="1"/>
      <w:numFmt w:val="lowerLetter"/>
      <w:lvlText w:val="%8."/>
      <w:lvlJc w:val="left"/>
      <w:pPr>
        <w:ind w:left="5182" w:hanging="360"/>
      </w:pPr>
    </w:lvl>
    <w:lvl w:ilvl="8" w:tplc="0410001B" w:tentative="1">
      <w:start w:val="1"/>
      <w:numFmt w:val="lowerRoman"/>
      <w:lvlText w:val="%9."/>
      <w:lvlJc w:val="right"/>
      <w:pPr>
        <w:ind w:left="5902" w:hanging="180"/>
      </w:pPr>
    </w:lvl>
  </w:abstractNum>
  <w:abstractNum w:abstractNumId="3">
    <w:nsid w:val="0A2720B1"/>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3C7476"/>
    <w:multiLevelType w:val="hybridMultilevel"/>
    <w:tmpl w:val="DDCA49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B427FA"/>
    <w:multiLevelType w:val="hybridMultilevel"/>
    <w:tmpl w:val="A76EC4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C84A5D"/>
    <w:multiLevelType w:val="hybridMultilevel"/>
    <w:tmpl w:val="27D810FC"/>
    <w:lvl w:ilvl="0" w:tplc="04100019">
      <w:start w:val="1"/>
      <w:numFmt w:val="lowerLetter"/>
      <w:lvlText w:val="%1."/>
      <w:lvlJc w:val="left"/>
      <w:pPr>
        <w:ind w:left="1021" w:hanging="360"/>
      </w:p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7">
    <w:nsid w:val="27174A60"/>
    <w:multiLevelType w:val="hybridMultilevel"/>
    <w:tmpl w:val="2ABE2B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132D93"/>
    <w:multiLevelType w:val="hybridMultilevel"/>
    <w:tmpl w:val="17E636B2"/>
    <w:lvl w:ilvl="0" w:tplc="0F1C2B96">
      <w:start w:val="1"/>
      <w:numFmt w:val="lowerLetter"/>
      <w:lvlText w:val="%1)"/>
      <w:lvlJc w:val="left"/>
      <w:pPr>
        <w:ind w:left="1139" w:hanging="360"/>
      </w:pPr>
      <w:rPr>
        <w:rFonts w:ascii="Calibri" w:eastAsia="Times New Roman" w:hAnsi="Calibri" w:cs="Calibri"/>
      </w:rPr>
    </w:lvl>
    <w:lvl w:ilvl="1" w:tplc="04100019" w:tentative="1">
      <w:start w:val="1"/>
      <w:numFmt w:val="lowerLetter"/>
      <w:lvlText w:val="%2."/>
      <w:lvlJc w:val="left"/>
      <w:pPr>
        <w:ind w:left="1859" w:hanging="360"/>
      </w:pPr>
    </w:lvl>
    <w:lvl w:ilvl="2" w:tplc="0410001B" w:tentative="1">
      <w:start w:val="1"/>
      <w:numFmt w:val="lowerRoman"/>
      <w:lvlText w:val="%3."/>
      <w:lvlJc w:val="right"/>
      <w:pPr>
        <w:ind w:left="2579" w:hanging="180"/>
      </w:pPr>
    </w:lvl>
    <w:lvl w:ilvl="3" w:tplc="0410000F" w:tentative="1">
      <w:start w:val="1"/>
      <w:numFmt w:val="decimal"/>
      <w:lvlText w:val="%4."/>
      <w:lvlJc w:val="left"/>
      <w:pPr>
        <w:ind w:left="3299" w:hanging="360"/>
      </w:pPr>
    </w:lvl>
    <w:lvl w:ilvl="4" w:tplc="04100019" w:tentative="1">
      <w:start w:val="1"/>
      <w:numFmt w:val="lowerLetter"/>
      <w:lvlText w:val="%5."/>
      <w:lvlJc w:val="left"/>
      <w:pPr>
        <w:ind w:left="4019" w:hanging="360"/>
      </w:pPr>
    </w:lvl>
    <w:lvl w:ilvl="5" w:tplc="0410001B" w:tentative="1">
      <w:start w:val="1"/>
      <w:numFmt w:val="lowerRoman"/>
      <w:lvlText w:val="%6."/>
      <w:lvlJc w:val="right"/>
      <w:pPr>
        <w:ind w:left="4739" w:hanging="180"/>
      </w:pPr>
    </w:lvl>
    <w:lvl w:ilvl="6" w:tplc="0410000F" w:tentative="1">
      <w:start w:val="1"/>
      <w:numFmt w:val="decimal"/>
      <w:lvlText w:val="%7."/>
      <w:lvlJc w:val="left"/>
      <w:pPr>
        <w:ind w:left="5459" w:hanging="360"/>
      </w:pPr>
    </w:lvl>
    <w:lvl w:ilvl="7" w:tplc="04100019" w:tentative="1">
      <w:start w:val="1"/>
      <w:numFmt w:val="lowerLetter"/>
      <w:lvlText w:val="%8."/>
      <w:lvlJc w:val="left"/>
      <w:pPr>
        <w:ind w:left="6179" w:hanging="360"/>
      </w:pPr>
    </w:lvl>
    <w:lvl w:ilvl="8" w:tplc="0410001B" w:tentative="1">
      <w:start w:val="1"/>
      <w:numFmt w:val="lowerRoman"/>
      <w:lvlText w:val="%9."/>
      <w:lvlJc w:val="right"/>
      <w:pPr>
        <w:ind w:left="6899" w:hanging="180"/>
      </w:pPr>
    </w:lvl>
  </w:abstractNum>
  <w:abstractNum w:abstractNumId="9">
    <w:nsid w:val="426A2EE2"/>
    <w:multiLevelType w:val="hybridMultilevel"/>
    <w:tmpl w:val="A2CAA612"/>
    <w:lvl w:ilvl="0" w:tplc="0F1C2B96">
      <w:start w:val="1"/>
      <w:numFmt w:val="lowerLetter"/>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6F12072"/>
    <w:multiLevelType w:val="hybridMultilevel"/>
    <w:tmpl w:val="06DEB178"/>
    <w:lvl w:ilvl="0" w:tplc="D0D404A2">
      <w:numFmt w:val="bullet"/>
      <w:lvlText w:val="-"/>
      <w:lvlJc w:val="left"/>
      <w:pPr>
        <w:ind w:left="720" w:hanging="360"/>
      </w:pPr>
      <w:rPr>
        <w:rFonts w:ascii="Calibri" w:eastAsiaTheme="minorHAns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6A645E13"/>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C77526"/>
    <w:multiLevelType w:val="hybridMultilevel"/>
    <w:tmpl w:val="0B38A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6D2330E"/>
    <w:multiLevelType w:val="hybridMultilevel"/>
    <w:tmpl w:val="0C603B6C"/>
    <w:lvl w:ilvl="0" w:tplc="0410000F">
      <w:start w:val="1"/>
      <w:numFmt w:val="decimal"/>
      <w:lvlText w:val="%1."/>
      <w:lvlJc w:val="left"/>
      <w:pPr>
        <w:ind w:left="360" w:hanging="360"/>
      </w:pPr>
    </w:lvl>
    <w:lvl w:ilvl="1" w:tplc="04100019">
      <w:start w:val="1"/>
      <w:numFmt w:val="lowerLetter"/>
      <w:lvlText w:val="%2."/>
      <w:lvlJc w:val="left"/>
      <w:pPr>
        <w:ind w:left="36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9CC5D71"/>
    <w:multiLevelType w:val="hybridMultilevel"/>
    <w:tmpl w:val="096CE4DA"/>
    <w:lvl w:ilvl="0" w:tplc="177EBC58">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
  </w:num>
  <w:num w:numId="5">
    <w:abstractNumId w:val="15"/>
  </w:num>
  <w:num w:numId="6">
    <w:abstractNumId w:val="11"/>
  </w:num>
  <w:num w:numId="7">
    <w:abstractNumId w:val="6"/>
  </w:num>
  <w:num w:numId="8">
    <w:abstractNumId w:val="3"/>
  </w:num>
  <w:num w:numId="9">
    <w:abstractNumId w:val="4"/>
  </w:num>
  <w:num w:numId="10">
    <w:abstractNumId w:val="12"/>
  </w:num>
  <w:num w:numId="11">
    <w:abstractNumId w:val="9"/>
  </w:num>
  <w:num w:numId="12">
    <w:abstractNumId w:val="7"/>
  </w:num>
  <w:num w:numId="13">
    <w:abstractNumId w:val="8"/>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A4"/>
    <w:rsid w:val="00014E7E"/>
    <w:rsid w:val="000237DB"/>
    <w:rsid w:val="0002769D"/>
    <w:rsid w:val="00041441"/>
    <w:rsid w:val="00044BAD"/>
    <w:rsid w:val="00050389"/>
    <w:rsid w:val="000524FC"/>
    <w:rsid w:val="00054228"/>
    <w:rsid w:val="00057678"/>
    <w:rsid w:val="000601A7"/>
    <w:rsid w:val="000601AB"/>
    <w:rsid w:val="00072560"/>
    <w:rsid w:val="0007741B"/>
    <w:rsid w:val="000808B0"/>
    <w:rsid w:val="000953E7"/>
    <w:rsid w:val="00096285"/>
    <w:rsid w:val="000B7DCF"/>
    <w:rsid w:val="000C2A3F"/>
    <w:rsid w:val="000C3B53"/>
    <w:rsid w:val="000D40E5"/>
    <w:rsid w:val="00100D39"/>
    <w:rsid w:val="0010486C"/>
    <w:rsid w:val="00121C3A"/>
    <w:rsid w:val="001522B6"/>
    <w:rsid w:val="0016357B"/>
    <w:rsid w:val="00181A1E"/>
    <w:rsid w:val="001A125D"/>
    <w:rsid w:val="001A2ABC"/>
    <w:rsid w:val="001A2CC3"/>
    <w:rsid w:val="001D013E"/>
    <w:rsid w:val="001E279D"/>
    <w:rsid w:val="001F3EA7"/>
    <w:rsid w:val="001F6C2D"/>
    <w:rsid w:val="00201C9D"/>
    <w:rsid w:val="002278D7"/>
    <w:rsid w:val="0024130F"/>
    <w:rsid w:val="002450DE"/>
    <w:rsid w:val="002522AE"/>
    <w:rsid w:val="00276292"/>
    <w:rsid w:val="002836A6"/>
    <w:rsid w:val="00293621"/>
    <w:rsid w:val="00294729"/>
    <w:rsid w:val="002A30FD"/>
    <w:rsid w:val="002A3CF9"/>
    <w:rsid w:val="002E30DE"/>
    <w:rsid w:val="002F2132"/>
    <w:rsid w:val="00313E44"/>
    <w:rsid w:val="003228D6"/>
    <w:rsid w:val="00322C6C"/>
    <w:rsid w:val="003247B5"/>
    <w:rsid w:val="0032650E"/>
    <w:rsid w:val="003306AB"/>
    <w:rsid w:val="00340884"/>
    <w:rsid w:val="003410A7"/>
    <w:rsid w:val="00342868"/>
    <w:rsid w:val="00343931"/>
    <w:rsid w:val="00350478"/>
    <w:rsid w:val="003806A2"/>
    <w:rsid w:val="00380F24"/>
    <w:rsid w:val="003813C2"/>
    <w:rsid w:val="0038150E"/>
    <w:rsid w:val="00393F3D"/>
    <w:rsid w:val="00394A82"/>
    <w:rsid w:val="003963D0"/>
    <w:rsid w:val="003A3474"/>
    <w:rsid w:val="003A4F47"/>
    <w:rsid w:val="003B0B64"/>
    <w:rsid w:val="003B1964"/>
    <w:rsid w:val="003D5307"/>
    <w:rsid w:val="003E5027"/>
    <w:rsid w:val="00406CD0"/>
    <w:rsid w:val="00442C83"/>
    <w:rsid w:val="00443F12"/>
    <w:rsid w:val="00444099"/>
    <w:rsid w:val="0044427C"/>
    <w:rsid w:val="0044716E"/>
    <w:rsid w:val="00482822"/>
    <w:rsid w:val="0048502D"/>
    <w:rsid w:val="00485509"/>
    <w:rsid w:val="004A4EE3"/>
    <w:rsid w:val="004B0FF0"/>
    <w:rsid w:val="004C0E60"/>
    <w:rsid w:val="004D4043"/>
    <w:rsid w:val="004D712B"/>
    <w:rsid w:val="004F06C0"/>
    <w:rsid w:val="00514362"/>
    <w:rsid w:val="005203A1"/>
    <w:rsid w:val="0055320B"/>
    <w:rsid w:val="00587BCE"/>
    <w:rsid w:val="00596F67"/>
    <w:rsid w:val="005C185B"/>
    <w:rsid w:val="005D3D23"/>
    <w:rsid w:val="005E5ACE"/>
    <w:rsid w:val="00600452"/>
    <w:rsid w:val="00607600"/>
    <w:rsid w:val="0060794D"/>
    <w:rsid w:val="00622216"/>
    <w:rsid w:val="00623C63"/>
    <w:rsid w:val="006355E1"/>
    <w:rsid w:val="00637F2B"/>
    <w:rsid w:val="00644D92"/>
    <w:rsid w:val="006558CE"/>
    <w:rsid w:val="00670349"/>
    <w:rsid w:val="00672741"/>
    <w:rsid w:val="00675FC4"/>
    <w:rsid w:val="00681B06"/>
    <w:rsid w:val="0069370C"/>
    <w:rsid w:val="006A6FC2"/>
    <w:rsid w:val="006B423F"/>
    <w:rsid w:val="006C45B6"/>
    <w:rsid w:val="006E1635"/>
    <w:rsid w:val="006F08DA"/>
    <w:rsid w:val="006F6459"/>
    <w:rsid w:val="007016DA"/>
    <w:rsid w:val="00705062"/>
    <w:rsid w:val="007141E2"/>
    <w:rsid w:val="00740677"/>
    <w:rsid w:val="00756913"/>
    <w:rsid w:val="007630B2"/>
    <w:rsid w:val="00763F51"/>
    <w:rsid w:val="007701A3"/>
    <w:rsid w:val="00777DCB"/>
    <w:rsid w:val="007B62FB"/>
    <w:rsid w:val="007C70DE"/>
    <w:rsid w:val="007C79D6"/>
    <w:rsid w:val="007C7E6A"/>
    <w:rsid w:val="007E4351"/>
    <w:rsid w:val="00801D12"/>
    <w:rsid w:val="00802862"/>
    <w:rsid w:val="0081588E"/>
    <w:rsid w:val="008206D1"/>
    <w:rsid w:val="0082387D"/>
    <w:rsid w:val="00833B51"/>
    <w:rsid w:val="00836825"/>
    <w:rsid w:val="0084358E"/>
    <w:rsid w:val="00844404"/>
    <w:rsid w:val="00845A91"/>
    <w:rsid w:val="00845D82"/>
    <w:rsid w:val="008528C6"/>
    <w:rsid w:val="00872EBC"/>
    <w:rsid w:val="008801AA"/>
    <w:rsid w:val="008855A7"/>
    <w:rsid w:val="008857CD"/>
    <w:rsid w:val="00890070"/>
    <w:rsid w:val="008A2727"/>
    <w:rsid w:val="008A4D4F"/>
    <w:rsid w:val="008B411D"/>
    <w:rsid w:val="008E4282"/>
    <w:rsid w:val="008F1767"/>
    <w:rsid w:val="008F73C2"/>
    <w:rsid w:val="00902947"/>
    <w:rsid w:val="00932F86"/>
    <w:rsid w:val="009335CB"/>
    <w:rsid w:val="00940BD8"/>
    <w:rsid w:val="00940FFF"/>
    <w:rsid w:val="009444A4"/>
    <w:rsid w:val="00946263"/>
    <w:rsid w:val="0094677B"/>
    <w:rsid w:val="00954DAE"/>
    <w:rsid w:val="00957232"/>
    <w:rsid w:val="00973116"/>
    <w:rsid w:val="00976C5E"/>
    <w:rsid w:val="0098182A"/>
    <w:rsid w:val="00981AE0"/>
    <w:rsid w:val="009845E5"/>
    <w:rsid w:val="009876EC"/>
    <w:rsid w:val="00990E08"/>
    <w:rsid w:val="00992946"/>
    <w:rsid w:val="009A3E45"/>
    <w:rsid w:val="009A3FCF"/>
    <w:rsid w:val="009A416E"/>
    <w:rsid w:val="009A4BE2"/>
    <w:rsid w:val="009C2D49"/>
    <w:rsid w:val="009C715F"/>
    <w:rsid w:val="009F5F5F"/>
    <w:rsid w:val="009F65E3"/>
    <w:rsid w:val="009F7FDA"/>
    <w:rsid w:val="00A20C72"/>
    <w:rsid w:val="00A270C1"/>
    <w:rsid w:val="00A540D1"/>
    <w:rsid w:val="00A62CA3"/>
    <w:rsid w:val="00A64492"/>
    <w:rsid w:val="00A75CF3"/>
    <w:rsid w:val="00A81544"/>
    <w:rsid w:val="00A94B89"/>
    <w:rsid w:val="00AA1F6D"/>
    <w:rsid w:val="00AA7B63"/>
    <w:rsid w:val="00AB7877"/>
    <w:rsid w:val="00AC4FF0"/>
    <w:rsid w:val="00AC76B8"/>
    <w:rsid w:val="00AD08CB"/>
    <w:rsid w:val="00AD21EB"/>
    <w:rsid w:val="00AD33FF"/>
    <w:rsid w:val="00AD4406"/>
    <w:rsid w:val="00AE6EB4"/>
    <w:rsid w:val="00AF1744"/>
    <w:rsid w:val="00B01BAE"/>
    <w:rsid w:val="00B11D64"/>
    <w:rsid w:val="00B13B73"/>
    <w:rsid w:val="00B216C7"/>
    <w:rsid w:val="00B227B8"/>
    <w:rsid w:val="00B27C81"/>
    <w:rsid w:val="00B31635"/>
    <w:rsid w:val="00B4442C"/>
    <w:rsid w:val="00B51EEF"/>
    <w:rsid w:val="00B526CF"/>
    <w:rsid w:val="00B5684C"/>
    <w:rsid w:val="00B65975"/>
    <w:rsid w:val="00BA182A"/>
    <w:rsid w:val="00BA2CD9"/>
    <w:rsid w:val="00BC7F18"/>
    <w:rsid w:val="00BD532F"/>
    <w:rsid w:val="00BF140A"/>
    <w:rsid w:val="00BF505B"/>
    <w:rsid w:val="00C040E1"/>
    <w:rsid w:val="00C115C8"/>
    <w:rsid w:val="00C1191C"/>
    <w:rsid w:val="00C174E0"/>
    <w:rsid w:val="00C41F93"/>
    <w:rsid w:val="00C44AC5"/>
    <w:rsid w:val="00C64709"/>
    <w:rsid w:val="00C72ED3"/>
    <w:rsid w:val="00C92B8E"/>
    <w:rsid w:val="00C94254"/>
    <w:rsid w:val="00C94DFF"/>
    <w:rsid w:val="00CA0561"/>
    <w:rsid w:val="00CA36E0"/>
    <w:rsid w:val="00CD030C"/>
    <w:rsid w:val="00CD729E"/>
    <w:rsid w:val="00CF1EBE"/>
    <w:rsid w:val="00CF4867"/>
    <w:rsid w:val="00CF5613"/>
    <w:rsid w:val="00D01665"/>
    <w:rsid w:val="00D157A4"/>
    <w:rsid w:val="00D16452"/>
    <w:rsid w:val="00D2128F"/>
    <w:rsid w:val="00D34193"/>
    <w:rsid w:val="00D54067"/>
    <w:rsid w:val="00D61F39"/>
    <w:rsid w:val="00D8059E"/>
    <w:rsid w:val="00D822CF"/>
    <w:rsid w:val="00DA331B"/>
    <w:rsid w:val="00DA3B8B"/>
    <w:rsid w:val="00DA5FF4"/>
    <w:rsid w:val="00DB2E0F"/>
    <w:rsid w:val="00DB736E"/>
    <w:rsid w:val="00DD362B"/>
    <w:rsid w:val="00DE0B27"/>
    <w:rsid w:val="00DF236B"/>
    <w:rsid w:val="00DF374A"/>
    <w:rsid w:val="00E059D9"/>
    <w:rsid w:val="00E27111"/>
    <w:rsid w:val="00E44E4E"/>
    <w:rsid w:val="00E45033"/>
    <w:rsid w:val="00E45AE1"/>
    <w:rsid w:val="00E5195A"/>
    <w:rsid w:val="00E6151E"/>
    <w:rsid w:val="00E61E73"/>
    <w:rsid w:val="00E67417"/>
    <w:rsid w:val="00E748E8"/>
    <w:rsid w:val="00E75DAA"/>
    <w:rsid w:val="00E820A6"/>
    <w:rsid w:val="00E83957"/>
    <w:rsid w:val="00E85C8F"/>
    <w:rsid w:val="00E878B9"/>
    <w:rsid w:val="00E93B88"/>
    <w:rsid w:val="00EA450C"/>
    <w:rsid w:val="00EC07D8"/>
    <w:rsid w:val="00EC5979"/>
    <w:rsid w:val="00ED1C53"/>
    <w:rsid w:val="00ED3E42"/>
    <w:rsid w:val="00ED5EDF"/>
    <w:rsid w:val="00ED7761"/>
    <w:rsid w:val="00F17091"/>
    <w:rsid w:val="00F36630"/>
    <w:rsid w:val="00F515DB"/>
    <w:rsid w:val="00F53D52"/>
    <w:rsid w:val="00F662E1"/>
    <w:rsid w:val="00F77D5E"/>
    <w:rsid w:val="00F93F45"/>
    <w:rsid w:val="00F96092"/>
    <w:rsid w:val="00FA14CA"/>
    <w:rsid w:val="00FA419E"/>
    <w:rsid w:val="00FA68F0"/>
    <w:rsid w:val="00FB01CE"/>
    <w:rsid w:val="00FB2616"/>
    <w:rsid w:val="00FB5330"/>
    <w:rsid w:val="00FC20D6"/>
    <w:rsid w:val="00FC72E7"/>
    <w:rsid w:val="00FC7B67"/>
    <w:rsid w:val="00FD0CCC"/>
    <w:rsid w:val="00FE39A1"/>
    <w:rsid w:val="00FE45BB"/>
    <w:rsid w:val="00FE6C9B"/>
    <w:rsid w:val="00FF4B84"/>
    <w:rsid w:val="00FF6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6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E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A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450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033"/>
  </w:style>
  <w:style w:type="paragraph" w:styleId="Pidipagina">
    <w:name w:val="footer"/>
    <w:basedOn w:val="Normale"/>
    <w:link w:val="PidipaginaCarattere"/>
    <w:uiPriority w:val="99"/>
    <w:unhideWhenUsed/>
    <w:rsid w:val="00E450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033"/>
  </w:style>
  <w:style w:type="paragraph" w:styleId="Testonotaapidipagina">
    <w:name w:val="footnote text"/>
    <w:basedOn w:val="Normale"/>
    <w:link w:val="TestonotaapidipaginaCarattere"/>
    <w:semiHidden/>
    <w:unhideWhenUsed/>
    <w:rsid w:val="001A2A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1A2ABC"/>
    <w:rPr>
      <w:sz w:val="20"/>
      <w:szCs w:val="20"/>
    </w:rPr>
  </w:style>
  <w:style w:type="character" w:styleId="Rimandonotaapidipagina">
    <w:name w:val="footnote reference"/>
    <w:basedOn w:val="Carpredefinitoparagrafo"/>
    <w:unhideWhenUsed/>
    <w:rsid w:val="001A2ABC"/>
    <w:rPr>
      <w:vertAlign w:val="superscript"/>
    </w:rPr>
  </w:style>
  <w:style w:type="paragraph" w:styleId="Numeroelenco">
    <w:name w:val="List Number"/>
    <w:basedOn w:val="Normale"/>
    <w:link w:val="NumeroelencoCarattere"/>
    <w:rsid w:val="00D157A4"/>
    <w:pPr>
      <w:widowControl w:val="0"/>
      <w:numPr>
        <w:numId w:val="4"/>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D157A4"/>
    <w:rPr>
      <w:rFonts w:ascii="Trebuchet MS" w:eastAsia="Times New Roman" w:hAnsi="Trebuchet MS" w:cs="Times New Roman"/>
      <w:kern w:val="2"/>
      <w:sz w:val="20"/>
      <w:szCs w:val="24"/>
      <w:lang w:eastAsia="it-IT"/>
    </w:rPr>
  </w:style>
  <w:style w:type="character" w:styleId="Collegamentoipertestuale">
    <w:name w:val="Hyperlink"/>
    <w:rsid w:val="00D157A4"/>
    <w:rPr>
      <w:rFonts w:ascii="Trebuchet MS" w:hAnsi="Trebuchet MS"/>
      <w:b/>
      <w:color w:val="0000FF"/>
      <w:sz w:val="20"/>
      <w:u w:val="single"/>
    </w:rPr>
  </w:style>
  <w:style w:type="paragraph" w:styleId="Paragrafoelenco">
    <w:name w:val="List Paragraph"/>
    <w:basedOn w:val="Normale"/>
    <w:uiPriority w:val="34"/>
    <w:qFormat/>
    <w:rsid w:val="00940BD8"/>
    <w:pPr>
      <w:ind w:left="720"/>
      <w:contextualSpacing/>
    </w:pPr>
  </w:style>
  <w:style w:type="character" w:styleId="Rimandocommento">
    <w:name w:val="annotation reference"/>
    <w:basedOn w:val="Carpredefinitoparagrafo"/>
    <w:uiPriority w:val="99"/>
    <w:semiHidden/>
    <w:unhideWhenUsed/>
    <w:rsid w:val="00A64492"/>
    <w:rPr>
      <w:sz w:val="16"/>
      <w:szCs w:val="16"/>
    </w:rPr>
  </w:style>
  <w:style w:type="paragraph" w:styleId="Testocommento">
    <w:name w:val="annotation text"/>
    <w:basedOn w:val="Normale"/>
    <w:link w:val="TestocommentoCarattere"/>
    <w:uiPriority w:val="99"/>
    <w:semiHidden/>
    <w:unhideWhenUsed/>
    <w:rsid w:val="00A644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4492"/>
    <w:rPr>
      <w:sz w:val="20"/>
      <w:szCs w:val="20"/>
    </w:rPr>
  </w:style>
  <w:style w:type="paragraph" w:styleId="Soggettocommento">
    <w:name w:val="annotation subject"/>
    <w:basedOn w:val="Testocommento"/>
    <w:next w:val="Testocommento"/>
    <w:link w:val="SoggettocommentoCarattere"/>
    <w:uiPriority w:val="99"/>
    <w:semiHidden/>
    <w:unhideWhenUsed/>
    <w:rsid w:val="00A64492"/>
    <w:rPr>
      <w:b/>
      <w:bCs/>
    </w:rPr>
  </w:style>
  <w:style w:type="character" w:customStyle="1" w:styleId="SoggettocommentoCarattere">
    <w:name w:val="Soggetto commento Carattere"/>
    <w:basedOn w:val="TestocommentoCarattere"/>
    <w:link w:val="Soggettocommento"/>
    <w:uiPriority w:val="99"/>
    <w:semiHidden/>
    <w:rsid w:val="00A64492"/>
    <w:rPr>
      <w:b/>
      <w:bCs/>
      <w:sz w:val="20"/>
      <w:szCs w:val="20"/>
    </w:rPr>
  </w:style>
  <w:style w:type="paragraph" w:styleId="Testofumetto">
    <w:name w:val="Balloon Text"/>
    <w:basedOn w:val="Normale"/>
    <w:link w:val="TestofumettoCarattere"/>
    <w:uiPriority w:val="99"/>
    <w:semiHidden/>
    <w:unhideWhenUsed/>
    <w:rsid w:val="00A644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492"/>
    <w:rPr>
      <w:rFonts w:ascii="Tahoma" w:hAnsi="Tahoma" w:cs="Tahoma"/>
      <w:sz w:val="16"/>
      <w:szCs w:val="16"/>
    </w:rPr>
  </w:style>
  <w:style w:type="paragraph" w:customStyle="1" w:styleId="Pula">
    <w:name w:val="Pula"/>
    <w:basedOn w:val="Normale"/>
    <w:qFormat/>
    <w:rsid w:val="00E059D9"/>
    <w:pPr>
      <w:jc w:val="center"/>
      <w:outlineLvl w:val="0"/>
    </w:pPr>
    <w:rPr>
      <w:rFonts w:ascii="Corbel" w:hAnsi="Corbel" w:cstheme="minorHAns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E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A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450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033"/>
  </w:style>
  <w:style w:type="paragraph" w:styleId="Pidipagina">
    <w:name w:val="footer"/>
    <w:basedOn w:val="Normale"/>
    <w:link w:val="PidipaginaCarattere"/>
    <w:uiPriority w:val="99"/>
    <w:unhideWhenUsed/>
    <w:rsid w:val="00E450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033"/>
  </w:style>
  <w:style w:type="paragraph" w:styleId="Testonotaapidipagina">
    <w:name w:val="footnote text"/>
    <w:basedOn w:val="Normale"/>
    <w:link w:val="TestonotaapidipaginaCarattere"/>
    <w:semiHidden/>
    <w:unhideWhenUsed/>
    <w:rsid w:val="001A2A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1A2ABC"/>
    <w:rPr>
      <w:sz w:val="20"/>
      <w:szCs w:val="20"/>
    </w:rPr>
  </w:style>
  <w:style w:type="character" w:styleId="Rimandonotaapidipagina">
    <w:name w:val="footnote reference"/>
    <w:basedOn w:val="Carpredefinitoparagrafo"/>
    <w:unhideWhenUsed/>
    <w:rsid w:val="001A2ABC"/>
    <w:rPr>
      <w:vertAlign w:val="superscript"/>
    </w:rPr>
  </w:style>
  <w:style w:type="paragraph" w:styleId="Numeroelenco">
    <w:name w:val="List Number"/>
    <w:basedOn w:val="Normale"/>
    <w:link w:val="NumeroelencoCarattere"/>
    <w:rsid w:val="00D157A4"/>
    <w:pPr>
      <w:widowControl w:val="0"/>
      <w:numPr>
        <w:numId w:val="4"/>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D157A4"/>
    <w:rPr>
      <w:rFonts w:ascii="Trebuchet MS" w:eastAsia="Times New Roman" w:hAnsi="Trebuchet MS" w:cs="Times New Roman"/>
      <w:kern w:val="2"/>
      <w:sz w:val="20"/>
      <w:szCs w:val="24"/>
      <w:lang w:eastAsia="it-IT"/>
    </w:rPr>
  </w:style>
  <w:style w:type="character" w:styleId="Collegamentoipertestuale">
    <w:name w:val="Hyperlink"/>
    <w:rsid w:val="00D157A4"/>
    <w:rPr>
      <w:rFonts w:ascii="Trebuchet MS" w:hAnsi="Trebuchet MS"/>
      <w:b/>
      <w:color w:val="0000FF"/>
      <w:sz w:val="20"/>
      <w:u w:val="single"/>
    </w:rPr>
  </w:style>
  <w:style w:type="paragraph" w:styleId="Paragrafoelenco">
    <w:name w:val="List Paragraph"/>
    <w:basedOn w:val="Normale"/>
    <w:uiPriority w:val="34"/>
    <w:qFormat/>
    <w:rsid w:val="00940BD8"/>
    <w:pPr>
      <w:ind w:left="720"/>
      <w:contextualSpacing/>
    </w:pPr>
  </w:style>
  <w:style w:type="character" w:styleId="Rimandocommento">
    <w:name w:val="annotation reference"/>
    <w:basedOn w:val="Carpredefinitoparagrafo"/>
    <w:uiPriority w:val="99"/>
    <w:semiHidden/>
    <w:unhideWhenUsed/>
    <w:rsid w:val="00A64492"/>
    <w:rPr>
      <w:sz w:val="16"/>
      <w:szCs w:val="16"/>
    </w:rPr>
  </w:style>
  <w:style w:type="paragraph" w:styleId="Testocommento">
    <w:name w:val="annotation text"/>
    <w:basedOn w:val="Normale"/>
    <w:link w:val="TestocommentoCarattere"/>
    <w:uiPriority w:val="99"/>
    <w:semiHidden/>
    <w:unhideWhenUsed/>
    <w:rsid w:val="00A644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4492"/>
    <w:rPr>
      <w:sz w:val="20"/>
      <w:szCs w:val="20"/>
    </w:rPr>
  </w:style>
  <w:style w:type="paragraph" w:styleId="Soggettocommento">
    <w:name w:val="annotation subject"/>
    <w:basedOn w:val="Testocommento"/>
    <w:next w:val="Testocommento"/>
    <w:link w:val="SoggettocommentoCarattere"/>
    <w:uiPriority w:val="99"/>
    <w:semiHidden/>
    <w:unhideWhenUsed/>
    <w:rsid w:val="00A64492"/>
    <w:rPr>
      <w:b/>
      <w:bCs/>
    </w:rPr>
  </w:style>
  <w:style w:type="character" w:customStyle="1" w:styleId="SoggettocommentoCarattere">
    <w:name w:val="Soggetto commento Carattere"/>
    <w:basedOn w:val="TestocommentoCarattere"/>
    <w:link w:val="Soggettocommento"/>
    <w:uiPriority w:val="99"/>
    <w:semiHidden/>
    <w:rsid w:val="00A64492"/>
    <w:rPr>
      <w:b/>
      <w:bCs/>
      <w:sz w:val="20"/>
      <w:szCs w:val="20"/>
    </w:rPr>
  </w:style>
  <w:style w:type="paragraph" w:styleId="Testofumetto">
    <w:name w:val="Balloon Text"/>
    <w:basedOn w:val="Normale"/>
    <w:link w:val="TestofumettoCarattere"/>
    <w:uiPriority w:val="99"/>
    <w:semiHidden/>
    <w:unhideWhenUsed/>
    <w:rsid w:val="00A644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492"/>
    <w:rPr>
      <w:rFonts w:ascii="Tahoma" w:hAnsi="Tahoma" w:cs="Tahoma"/>
      <w:sz w:val="16"/>
      <w:szCs w:val="16"/>
    </w:rPr>
  </w:style>
  <w:style w:type="paragraph" w:customStyle="1" w:styleId="Pula">
    <w:name w:val="Pula"/>
    <w:basedOn w:val="Normale"/>
    <w:qFormat/>
    <w:rsid w:val="00E059D9"/>
    <w:pPr>
      <w:jc w:val="center"/>
      <w:outlineLvl w:val="0"/>
    </w:pPr>
    <w:rPr>
      <w:rFonts w:ascii="Corbel" w:hAnsi="Corbel" w:cs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0344">
      <w:bodyDiv w:val="1"/>
      <w:marLeft w:val="0"/>
      <w:marRight w:val="0"/>
      <w:marTop w:val="0"/>
      <w:marBottom w:val="0"/>
      <w:divBdr>
        <w:top w:val="none" w:sz="0" w:space="0" w:color="auto"/>
        <w:left w:val="none" w:sz="0" w:space="0" w:color="auto"/>
        <w:bottom w:val="none" w:sz="0" w:space="0" w:color="auto"/>
        <w:right w:val="none" w:sz="0" w:space="0" w:color="auto"/>
      </w:divBdr>
    </w:div>
    <w:div w:id="1188911649">
      <w:bodyDiv w:val="1"/>
      <w:marLeft w:val="0"/>
      <w:marRight w:val="0"/>
      <w:marTop w:val="0"/>
      <w:marBottom w:val="0"/>
      <w:divBdr>
        <w:top w:val="none" w:sz="0" w:space="0" w:color="auto"/>
        <w:left w:val="none" w:sz="0" w:space="0" w:color="auto"/>
        <w:bottom w:val="none" w:sz="0" w:space="0" w:color="auto"/>
        <w:right w:val="none" w:sz="0" w:space="0" w:color="auto"/>
      </w:divBdr>
    </w:div>
    <w:div w:id="12435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rdegnacat.it/" TargetMode="External"/><Relationship Id="rId18" Type="http://schemas.openxmlformats.org/officeDocument/2006/relationships/hyperlink" Target="mailto:parcodiportoconte@pec.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rcodiportoconte.it/" TargetMode="External"/><Relationship Id="rId17" Type="http://schemas.openxmlformats.org/officeDocument/2006/relationships/hyperlink" Target="mailto:amministrazione2@parcodiportoconte.it" TargetMode="External"/><Relationship Id="rId2" Type="http://schemas.openxmlformats.org/officeDocument/2006/relationships/numbering" Target="numbering.xml"/><Relationship Id="rId16" Type="http://schemas.openxmlformats.org/officeDocument/2006/relationships/hyperlink" Target="http://www.parcodiportoconte.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codiportoconte.it/" TargetMode="External"/><Relationship Id="rId5" Type="http://schemas.openxmlformats.org/officeDocument/2006/relationships/settings" Target="settings.xml"/><Relationship Id="rId15" Type="http://schemas.openxmlformats.org/officeDocument/2006/relationships/hyperlink" Target="https://www.sardegnacat.it" TargetMode="External"/><Relationship Id="rId23" Type="http://schemas.openxmlformats.org/officeDocument/2006/relationships/theme" Target="theme/theme1.xml"/><Relationship Id="rId10" Type="http://schemas.openxmlformats.org/officeDocument/2006/relationships/hyperlink" Target="http://www.parcodiportoconte.it/" TargetMode="External"/><Relationship Id="rId19" Type="http://schemas.openxmlformats.org/officeDocument/2006/relationships/hyperlink" Target="http://www.giustizia-amministrativa.it" TargetMode="External"/><Relationship Id="rId4" Type="http://schemas.microsoft.com/office/2007/relationships/stylesWithEffects" Target="stylesWithEffects.xml"/><Relationship Id="rId9" Type="http://schemas.openxmlformats.org/officeDocument/2006/relationships/hyperlink" Target="mailto:amministrazione2@parcodiportoconte.it" TargetMode="External"/><Relationship Id="rId14" Type="http://schemas.openxmlformats.org/officeDocument/2006/relationships/hyperlink" Target="https://sardegnaricerche.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55D4-BECD-477D-B673-E8C2428A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1474</Words>
  <Characters>8403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dc:creator>
  <cp:lastModifiedBy>Pasquale Sinis</cp:lastModifiedBy>
  <cp:revision>58</cp:revision>
  <cp:lastPrinted>2020-02-28T08:08:00Z</cp:lastPrinted>
  <dcterms:created xsi:type="dcterms:W3CDTF">2020-02-04T11:28:00Z</dcterms:created>
  <dcterms:modified xsi:type="dcterms:W3CDTF">2020-02-28T09:31:00Z</dcterms:modified>
</cp:coreProperties>
</file>